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2207"/>
        <w:gridCol w:w="3438"/>
      </w:tblGrid>
      <w:tr w:rsidR="00444D2B" w:rsidRPr="001878D9" w14:paraId="312ED1BC" w14:textId="77777777" w:rsidTr="00DD6431">
        <w:trPr>
          <w:trHeight w:val="2044"/>
        </w:trPr>
        <w:tc>
          <w:tcPr>
            <w:tcW w:w="3573" w:type="dxa"/>
            <w:shd w:val="clear" w:color="auto" w:fill="B4C6E7" w:themeFill="accent5" w:themeFillTint="66"/>
            <w:vAlign w:val="center"/>
          </w:tcPr>
          <w:p w14:paraId="3BC4DD8F" w14:textId="77777777" w:rsidR="00950BDD" w:rsidRPr="00950BDD" w:rsidRDefault="00950BDD" w:rsidP="00950BDD">
            <w:pPr>
              <w:jc w:val="center"/>
              <w:rPr>
                <w:rFonts w:ascii="Verdana" w:hAnsi="Verdana"/>
                <w:b/>
                <w:color w:val="000000" w:themeColor="text1"/>
                <w:lang w:val="ru-RU"/>
              </w:rPr>
            </w:pPr>
            <w:r w:rsidRPr="009A635B">
              <w:rPr>
                <w:rFonts w:ascii="Verdana" w:hAnsi="Verdana"/>
                <w:b/>
                <w:color w:val="000000" w:themeColor="text1"/>
                <w:sz w:val="56"/>
                <w:szCs w:val="56"/>
              </w:rPr>
              <w:t>1</w:t>
            </w:r>
            <w:r>
              <w:rPr>
                <w:rFonts w:ascii="Verdana" w:hAnsi="Verdana"/>
                <w:b/>
                <w:color w:val="000000" w:themeColor="text1"/>
                <w:sz w:val="56"/>
                <w:szCs w:val="56"/>
              </w:rPr>
              <w:t>7</w:t>
            </w:r>
            <w:r w:rsidRPr="009A635B">
              <w:rPr>
                <w:rFonts w:ascii="Verdana" w:hAnsi="Verdana"/>
                <w:b/>
                <w:color w:val="000000" w:themeColor="text1"/>
                <w:lang w:val="ru-RU"/>
              </w:rPr>
              <w:br/>
            </w:r>
            <w:r>
              <w:rPr>
                <w:rFonts w:ascii="Verdana" w:hAnsi="Verdana"/>
                <w:b/>
                <w:color w:val="000000" w:themeColor="text1"/>
                <w:sz w:val="36"/>
                <w:szCs w:val="36"/>
                <w:lang w:val="ru-RU"/>
              </w:rPr>
              <w:t>но</w:t>
            </w:r>
            <w:r w:rsidRPr="009A635B">
              <w:rPr>
                <w:rFonts w:ascii="Verdana" w:hAnsi="Verdana"/>
                <w:b/>
                <w:color w:val="000000" w:themeColor="text1"/>
                <w:sz w:val="36"/>
                <w:szCs w:val="36"/>
                <w:lang w:val="ru-RU"/>
              </w:rPr>
              <w:t>ября</w:t>
            </w:r>
            <w:r w:rsidRPr="009A635B">
              <w:rPr>
                <w:rFonts w:ascii="Verdana" w:hAnsi="Verdana"/>
                <w:b/>
                <w:color w:val="000000" w:themeColor="text1"/>
                <w:lang w:val="ru-RU"/>
              </w:rPr>
              <w:br/>
            </w:r>
            <w:r w:rsidRPr="009A635B">
              <w:rPr>
                <w:rFonts w:ascii="Verdana" w:hAnsi="Verdana"/>
                <w:color w:val="000000" w:themeColor="text1"/>
                <w:sz w:val="32"/>
                <w:szCs w:val="32"/>
                <w:lang w:val="ru-RU"/>
              </w:rPr>
              <w:t>вторник</w:t>
            </w:r>
          </w:p>
        </w:tc>
        <w:tc>
          <w:tcPr>
            <w:tcW w:w="6773" w:type="dxa"/>
            <w:gridSpan w:val="2"/>
            <w:vAlign w:val="center"/>
          </w:tcPr>
          <w:p w14:paraId="0A747811" w14:textId="77777777" w:rsidR="00950BDD" w:rsidRPr="001878D9" w:rsidRDefault="00950BDD" w:rsidP="00950BDD">
            <w:pPr>
              <w:ind w:left="283"/>
              <w:rPr>
                <w:rFonts w:ascii="Verdana" w:hAnsi="Verdana"/>
                <w:b/>
                <w:sz w:val="36"/>
                <w:szCs w:val="36"/>
                <w:lang w:val="ru-RU"/>
              </w:rPr>
            </w:pPr>
            <w:r w:rsidRPr="001878D9">
              <w:rPr>
                <w:rFonts w:ascii="Verdana" w:hAnsi="Verdana"/>
                <w:b/>
                <w:sz w:val="36"/>
                <w:szCs w:val="36"/>
                <w:lang w:val="ru-RU"/>
              </w:rPr>
              <w:t>Коллоквиум</w:t>
            </w:r>
            <w:r w:rsidRPr="001878D9">
              <w:rPr>
                <w:rFonts w:ascii="Verdana" w:hAnsi="Verdana"/>
                <w:b/>
                <w:sz w:val="36"/>
                <w:szCs w:val="36"/>
                <w:lang w:val="ru-RU"/>
              </w:rPr>
              <w:br/>
              <w:t xml:space="preserve">факультета </w:t>
            </w:r>
            <w:r w:rsidRPr="001878D9">
              <w:rPr>
                <w:rFonts w:ascii="Verdana" w:hAnsi="Verdana"/>
                <w:b/>
                <w:sz w:val="36"/>
                <w:szCs w:val="36"/>
                <w:lang w:val="ru-RU"/>
              </w:rPr>
              <w:br/>
              <w:t xml:space="preserve">компьютерных наук </w:t>
            </w:r>
            <w:r w:rsidRPr="001878D9">
              <w:rPr>
                <w:rFonts w:ascii="Verdana" w:hAnsi="Verdana"/>
                <w:b/>
                <w:sz w:val="36"/>
                <w:szCs w:val="36"/>
                <w:lang w:val="ru-RU"/>
              </w:rPr>
              <w:br/>
              <w:t>НИУ ВШЭ</w:t>
            </w:r>
          </w:p>
        </w:tc>
      </w:tr>
      <w:tr w:rsidR="00444D2B" w14:paraId="4B986CEF" w14:textId="77777777" w:rsidTr="00DD6431">
        <w:trPr>
          <w:trHeight w:val="3127"/>
        </w:trPr>
        <w:tc>
          <w:tcPr>
            <w:tcW w:w="3573" w:type="dxa"/>
          </w:tcPr>
          <w:p w14:paraId="6C30DD8E" w14:textId="2E72FEA1" w:rsidR="00950BDD" w:rsidRPr="00444D2B" w:rsidRDefault="00444D2B">
            <w:r>
              <w:rPr>
                <w:rFonts w:ascii="Helvetica" w:eastAsiaTheme="minorHAnsi" w:hAnsi="Helvetica" w:cs="Helvetica"/>
                <w:noProof/>
                <w:lang w:val="ru-RU"/>
              </w:rPr>
              <w:drawing>
                <wp:inline distT="0" distB="0" distL="0" distR="0" wp14:anchorId="4A622CD5" wp14:editId="78BE5755">
                  <wp:extent cx="2848550" cy="190435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8146" cy="1957564"/>
                          </a:xfrm>
                          <a:prstGeom prst="rect">
                            <a:avLst/>
                          </a:prstGeom>
                          <a:noFill/>
                          <a:ln>
                            <a:noFill/>
                          </a:ln>
                        </pic:spPr>
                      </pic:pic>
                    </a:graphicData>
                  </a:graphic>
                </wp:inline>
              </w:drawing>
            </w:r>
          </w:p>
        </w:tc>
        <w:tc>
          <w:tcPr>
            <w:tcW w:w="6773" w:type="dxa"/>
            <w:gridSpan w:val="2"/>
            <w:vAlign w:val="center"/>
          </w:tcPr>
          <w:p w14:paraId="29B07CA2" w14:textId="77777777" w:rsidR="00950BDD" w:rsidRPr="00CA6486" w:rsidRDefault="00950BDD" w:rsidP="00950BDD">
            <w:pPr>
              <w:spacing w:after="240"/>
              <w:ind w:left="283"/>
              <w:rPr>
                <w:rFonts w:ascii="Verdana" w:hAnsi="Verdana"/>
                <w:b/>
                <w:sz w:val="40"/>
                <w:szCs w:val="40"/>
              </w:rPr>
            </w:pPr>
            <w:r>
              <w:rPr>
                <w:rFonts w:ascii="Verdana" w:hAnsi="Verdana"/>
                <w:b/>
                <w:sz w:val="40"/>
                <w:szCs w:val="40"/>
              </w:rPr>
              <w:t xml:space="preserve">Panagiotis </w:t>
            </w:r>
            <w:proofErr w:type="spellStart"/>
            <w:r>
              <w:rPr>
                <w:rFonts w:ascii="Verdana" w:hAnsi="Verdana"/>
                <w:b/>
                <w:sz w:val="40"/>
                <w:szCs w:val="40"/>
              </w:rPr>
              <w:t>Karras</w:t>
            </w:r>
            <w:proofErr w:type="spellEnd"/>
          </w:p>
          <w:p w14:paraId="72AA29FE" w14:textId="77777777" w:rsidR="00950BDD" w:rsidRPr="001878D9" w:rsidRDefault="00950BDD" w:rsidP="00950BDD">
            <w:pPr>
              <w:spacing w:after="240"/>
              <w:ind w:left="283"/>
              <w:rPr>
                <w:rFonts w:ascii="Verdana" w:hAnsi="Verdana"/>
                <w:sz w:val="32"/>
                <w:szCs w:val="32"/>
              </w:rPr>
            </w:pPr>
            <w:proofErr w:type="spellStart"/>
            <w:r w:rsidRPr="001878D9">
              <w:rPr>
                <w:rFonts w:ascii="Verdana" w:hAnsi="Verdana"/>
                <w:sz w:val="32"/>
                <w:szCs w:val="32"/>
              </w:rPr>
              <w:t>Skoltech</w:t>
            </w:r>
            <w:proofErr w:type="spellEnd"/>
          </w:p>
          <w:p w14:paraId="0519D8A2" w14:textId="77777777" w:rsidR="00950BDD" w:rsidRPr="001878D9" w:rsidRDefault="00950BDD" w:rsidP="00950BDD">
            <w:pPr>
              <w:spacing w:after="240"/>
              <w:ind w:left="283"/>
              <w:rPr>
                <w:rFonts w:ascii="Verdana" w:hAnsi="Verdana"/>
                <w:b/>
                <w:sz w:val="40"/>
                <w:szCs w:val="40"/>
              </w:rPr>
            </w:pPr>
            <w:r w:rsidRPr="001878D9">
              <w:rPr>
                <w:rFonts w:ascii="Verdana" w:hAnsi="Verdana"/>
                <w:b/>
                <w:sz w:val="40"/>
                <w:szCs w:val="40"/>
              </w:rPr>
              <w:t>k-</w:t>
            </w:r>
            <w:proofErr w:type="spellStart"/>
            <w:r w:rsidRPr="001878D9">
              <w:rPr>
                <w:rFonts w:ascii="Verdana" w:hAnsi="Verdana"/>
                <w:b/>
                <w:sz w:val="40"/>
                <w:szCs w:val="40"/>
              </w:rPr>
              <w:t>Anonymization</w:t>
            </w:r>
            <w:proofErr w:type="spellEnd"/>
            <w:r w:rsidRPr="001878D9">
              <w:rPr>
                <w:rFonts w:ascii="Verdana" w:hAnsi="Verdana"/>
                <w:b/>
                <w:sz w:val="40"/>
                <w:szCs w:val="40"/>
              </w:rPr>
              <w:t xml:space="preserve"> </w:t>
            </w:r>
            <w:r w:rsidRPr="001878D9">
              <w:rPr>
                <w:rFonts w:ascii="Verdana" w:hAnsi="Verdana"/>
                <w:b/>
                <w:sz w:val="40"/>
                <w:szCs w:val="40"/>
              </w:rPr>
              <w:br/>
              <w:t>by Freeform Generalization</w:t>
            </w:r>
          </w:p>
        </w:tc>
      </w:tr>
      <w:tr w:rsidR="00950BDD" w14:paraId="273E88A5" w14:textId="77777777" w:rsidTr="00DB02CB">
        <w:trPr>
          <w:trHeight w:val="7961"/>
        </w:trPr>
        <w:tc>
          <w:tcPr>
            <w:tcW w:w="10346" w:type="dxa"/>
            <w:gridSpan w:val="3"/>
            <w:shd w:val="clear" w:color="auto" w:fill="B4C6E7" w:themeFill="accent5" w:themeFillTint="66"/>
          </w:tcPr>
          <w:p w14:paraId="3197DB80" w14:textId="77777777" w:rsidR="00950BDD" w:rsidRDefault="00950BDD" w:rsidP="00DB02CB">
            <w:pPr>
              <w:spacing w:before="240" w:after="120"/>
              <w:ind w:left="170" w:right="178"/>
              <w:rPr>
                <w:rFonts w:ascii="Verdana" w:eastAsia="Times New Roman" w:hAnsi="Verdana" w:cs="Times New Roman"/>
                <w:sz w:val="26"/>
                <w:szCs w:val="26"/>
              </w:rPr>
            </w:pPr>
            <w:r w:rsidRPr="00950BDD">
              <w:rPr>
                <w:rFonts w:ascii="Verdana" w:eastAsia="Times New Roman" w:hAnsi="Verdana" w:cs="Times New Roman"/>
                <w:sz w:val="26"/>
                <w:szCs w:val="26"/>
              </w:rPr>
              <w:t xml:space="preserve">Syntactic data </w:t>
            </w:r>
            <w:proofErr w:type="spellStart"/>
            <w:r w:rsidRPr="00950BDD">
              <w:rPr>
                <w:rFonts w:ascii="Verdana" w:eastAsia="Times New Roman" w:hAnsi="Verdana" w:cs="Times New Roman"/>
                <w:sz w:val="26"/>
                <w:szCs w:val="26"/>
              </w:rPr>
              <w:t>anonymization</w:t>
            </w:r>
            <w:proofErr w:type="spellEnd"/>
            <w:r w:rsidRPr="00950BDD">
              <w:rPr>
                <w:rFonts w:ascii="Verdana" w:eastAsia="Times New Roman" w:hAnsi="Verdana" w:cs="Times New Roman"/>
                <w:sz w:val="26"/>
                <w:szCs w:val="26"/>
              </w:rPr>
              <w:t xml:space="preserve"> strives to (</w:t>
            </w:r>
            <w:proofErr w:type="spellStart"/>
            <w:r w:rsidRPr="00950BDD">
              <w:rPr>
                <w:rFonts w:ascii="Verdana" w:eastAsia="Times New Roman" w:hAnsi="Verdana" w:cs="Times New Roman"/>
                <w:sz w:val="26"/>
                <w:szCs w:val="26"/>
              </w:rPr>
              <w:t>i</w:t>
            </w:r>
            <w:proofErr w:type="spellEnd"/>
            <w:r w:rsidRPr="00950BDD">
              <w:rPr>
                <w:rFonts w:ascii="Verdana" w:eastAsia="Times New Roman" w:hAnsi="Verdana" w:cs="Times New Roman"/>
                <w:sz w:val="26"/>
                <w:szCs w:val="26"/>
              </w:rPr>
              <w:t xml:space="preserve">) ensure that an adversary cannot identify an individual’s record from published record attributes with high probability, and (ii) preserve data utility. These mutually conflicting goals can be expressed as an optimization problem with privacy as the constraint and utility as the objective function. Conventional research on </w:t>
            </w:r>
            <w:r w:rsidRPr="00950BDD">
              <w:rPr>
                <w:rFonts w:ascii="Verdana" w:eastAsia="Times New Roman" w:hAnsi="Verdana" w:cs="Times New Roman"/>
                <w:i/>
                <w:iCs/>
                <w:sz w:val="26"/>
                <w:szCs w:val="26"/>
              </w:rPr>
              <w:t>k</w:t>
            </w:r>
            <w:r w:rsidRPr="00950BDD">
              <w:rPr>
                <w:rFonts w:ascii="Verdana" w:eastAsia="Times New Roman" w:hAnsi="Verdana" w:cs="Times New Roman"/>
                <w:sz w:val="26"/>
                <w:szCs w:val="26"/>
              </w:rPr>
              <w:t xml:space="preserve">-anonymity, a popular privacy model, has resorted to generalizing data values in homogeneous groups. However, such grouping is not necessary. Instead, data values can be recast in a heterogeneous manner that allows for higher utility. Nevertheless, previous work in this direction did not define the problem in the most general terms; thus, the utility gains achieved are limited. </w:t>
            </w:r>
          </w:p>
          <w:p w14:paraId="29CC8CB3" w14:textId="77777777" w:rsidR="00950BDD" w:rsidRPr="001878D9" w:rsidRDefault="00950BDD" w:rsidP="00DB02CB">
            <w:pPr>
              <w:spacing w:after="120"/>
              <w:ind w:left="170" w:right="178"/>
              <w:rPr>
                <w:rFonts w:ascii="Verdana" w:eastAsia="Times New Roman" w:hAnsi="Verdana" w:cs="Times New Roman"/>
                <w:sz w:val="26"/>
                <w:szCs w:val="26"/>
              </w:rPr>
            </w:pPr>
            <w:r w:rsidRPr="00950BDD">
              <w:rPr>
                <w:rFonts w:ascii="Verdana" w:eastAsia="Times New Roman" w:hAnsi="Verdana" w:cs="Times New Roman"/>
                <w:sz w:val="26"/>
                <w:szCs w:val="26"/>
              </w:rPr>
              <w:t xml:space="preserve">In this paper, we propose a methodology that achieves the full potential of heterogeneity and gains higher utility. We formulate the problem as a network flow problem and develop an optimal solution therefor using Mixed Integer Programming, an </w:t>
            </w:r>
            <w:proofErr w:type="gramStart"/>
            <w:r w:rsidRPr="00950BDD">
              <w:rPr>
                <w:rFonts w:ascii="Verdana" w:eastAsia="Times New Roman" w:hAnsi="Verdana" w:cs="Times New Roman"/>
                <w:i/>
                <w:iCs/>
                <w:sz w:val="26"/>
                <w:szCs w:val="26"/>
              </w:rPr>
              <w:t>O</w:t>
            </w:r>
            <w:r w:rsidRPr="00950BDD">
              <w:rPr>
                <w:rFonts w:ascii="Verdana" w:eastAsia="Times New Roman" w:hAnsi="Verdana" w:cs="Times New Roman"/>
                <w:sz w:val="26"/>
                <w:szCs w:val="26"/>
              </w:rPr>
              <w:t>(</w:t>
            </w:r>
            <w:proofErr w:type="gramEnd"/>
            <w:r w:rsidRPr="00950BDD">
              <w:rPr>
                <w:rFonts w:ascii="Verdana" w:eastAsia="Times New Roman" w:hAnsi="Verdana" w:cs="Times New Roman"/>
                <w:i/>
                <w:iCs/>
                <w:sz w:val="26"/>
                <w:szCs w:val="26"/>
              </w:rPr>
              <w:t>kn</w:t>
            </w:r>
            <w:r w:rsidRPr="00950BDD">
              <w:rPr>
                <w:rFonts w:ascii="Verdana" w:eastAsia="Times New Roman" w:hAnsi="Verdana" w:cs="Times New Roman"/>
                <w:sz w:val="26"/>
                <w:szCs w:val="26"/>
                <w:vertAlign w:val="superscript"/>
              </w:rPr>
              <w:t>2</w:t>
            </w:r>
            <w:r w:rsidRPr="00950BDD">
              <w:rPr>
                <w:rFonts w:ascii="Verdana" w:eastAsia="Times New Roman" w:hAnsi="Verdana" w:cs="Times New Roman"/>
                <w:sz w:val="26"/>
                <w:szCs w:val="26"/>
              </w:rPr>
              <w:t xml:space="preserve">) greedy algorithm that has no time-complexity disadvantage vis-á-vis previous approaches, an </w:t>
            </w:r>
            <w:r w:rsidRPr="00950BDD">
              <w:rPr>
                <w:rFonts w:ascii="Verdana" w:eastAsia="Times New Roman" w:hAnsi="Verdana" w:cs="Times New Roman"/>
                <w:i/>
                <w:iCs/>
                <w:sz w:val="26"/>
                <w:szCs w:val="26"/>
              </w:rPr>
              <w:t>O</w:t>
            </w:r>
            <w:r w:rsidRPr="00950BDD">
              <w:rPr>
                <w:rFonts w:ascii="Verdana" w:eastAsia="Times New Roman" w:hAnsi="Verdana" w:cs="Times New Roman"/>
                <w:sz w:val="26"/>
                <w:szCs w:val="26"/>
              </w:rPr>
              <w:t>(</w:t>
            </w:r>
            <w:r w:rsidRPr="00950BDD">
              <w:rPr>
                <w:rFonts w:ascii="Verdana" w:eastAsia="Times New Roman" w:hAnsi="Verdana" w:cs="Times New Roman"/>
                <w:i/>
                <w:iCs/>
                <w:sz w:val="26"/>
                <w:szCs w:val="26"/>
              </w:rPr>
              <w:t>kn</w:t>
            </w:r>
            <w:r w:rsidRPr="00950BDD">
              <w:rPr>
                <w:rFonts w:ascii="Verdana" w:eastAsia="Times New Roman" w:hAnsi="Verdana" w:cs="Times New Roman"/>
                <w:sz w:val="26"/>
                <w:szCs w:val="26"/>
                <w:vertAlign w:val="superscript"/>
              </w:rPr>
              <w:t>2</w:t>
            </w:r>
            <w:r w:rsidRPr="00950BDD">
              <w:rPr>
                <w:rFonts w:ascii="Verdana" w:eastAsia="Times New Roman" w:hAnsi="Verdana" w:cs="Times New Roman"/>
                <w:sz w:val="26"/>
                <w:szCs w:val="26"/>
              </w:rPr>
              <w:t xml:space="preserve"> log </w:t>
            </w:r>
            <w:r w:rsidRPr="00950BDD">
              <w:rPr>
                <w:rFonts w:ascii="Verdana" w:eastAsia="Times New Roman" w:hAnsi="Verdana" w:cs="Times New Roman"/>
                <w:i/>
                <w:iCs/>
                <w:sz w:val="26"/>
                <w:szCs w:val="26"/>
              </w:rPr>
              <w:t>n</w:t>
            </w:r>
            <w:r w:rsidRPr="00950BDD">
              <w:rPr>
                <w:rFonts w:ascii="Verdana" w:eastAsia="Times New Roman" w:hAnsi="Verdana" w:cs="Times New Roman"/>
                <w:sz w:val="26"/>
                <w:szCs w:val="26"/>
              </w:rPr>
              <w:t xml:space="preserve">) enhanced version thereof, and an </w:t>
            </w:r>
            <w:r w:rsidRPr="00950BDD">
              <w:rPr>
                <w:rFonts w:ascii="Verdana" w:eastAsia="Times New Roman" w:hAnsi="Verdana" w:cs="Times New Roman"/>
                <w:i/>
                <w:iCs/>
                <w:sz w:val="26"/>
                <w:szCs w:val="26"/>
              </w:rPr>
              <w:t>O</w:t>
            </w:r>
            <w:r w:rsidRPr="00950BDD">
              <w:rPr>
                <w:rFonts w:ascii="Verdana" w:eastAsia="Times New Roman" w:hAnsi="Verdana" w:cs="Times New Roman"/>
                <w:sz w:val="26"/>
                <w:szCs w:val="26"/>
              </w:rPr>
              <w:t>(</w:t>
            </w:r>
            <w:r w:rsidRPr="00950BDD">
              <w:rPr>
                <w:rFonts w:ascii="Verdana" w:eastAsia="Times New Roman" w:hAnsi="Verdana" w:cs="Times New Roman"/>
                <w:i/>
                <w:iCs/>
                <w:sz w:val="26"/>
                <w:szCs w:val="26"/>
              </w:rPr>
              <w:t>kn</w:t>
            </w:r>
            <w:r w:rsidRPr="00950BDD">
              <w:rPr>
                <w:rFonts w:ascii="Verdana" w:eastAsia="Times New Roman" w:hAnsi="Verdana" w:cs="Times New Roman"/>
                <w:sz w:val="26"/>
                <w:szCs w:val="26"/>
                <w:vertAlign w:val="superscript"/>
              </w:rPr>
              <w:t>3</w:t>
            </w:r>
            <w:r w:rsidRPr="00950BDD">
              <w:rPr>
                <w:rFonts w:ascii="Verdana" w:eastAsia="Times New Roman" w:hAnsi="Verdana" w:cs="Times New Roman"/>
                <w:sz w:val="26"/>
                <w:szCs w:val="26"/>
              </w:rPr>
              <w:t xml:space="preserve">) adaptation of the Hungarian algorithm; these algorithms build a set of k perfect </w:t>
            </w:r>
            <w:proofErr w:type="spellStart"/>
            <w:r w:rsidRPr="00950BDD">
              <w:rPr>
                <w:rFonts w:ascii="Verdana" w:eastAsia="Times New Roman" w:hAnsi="Verdana" w:cs="Times New Roman"/>
                <w:sz w:val="26"/>
                <w:szCs w:val="26"/>
              </w:rPr>
              <w:t>matchings</w:t>
            </w:r>
            <w:proofErr w:type="spellEnd"/>
            <w:r w:rsidRPr="00950BDD">
              <w:rPr>
                <w:rFonts w:ascii="Verdana" w:eastAsia="Times New Roman" w:hAnsi="Verdana" w:cs="Times New Roman"/>
                <w:sz w:val="26"/>
                <w:szCs w:val="26"/>
              </w:rPr>
              <w:t xml:space="preserve"> from original to anonymized data. Our techniques can resist adversaries who may know the employed algorithms. Experiments with real-world data verify that our schemes achieve near-optimal utility (with gains of up to 41%), while they can exploit parallelism and data partitioning, gaining an efficiency advantage over simpler methods.</w:t>
            </w:r>
          </w:p>
        </w:tc>
      </w:tr>
      <w:tr w:rsidR="00950BDD" w14:paraId="1A50D7E9" w14:textId="77777777" w:rsidTr="00DB02CB">
        <w:trPr>
          <w:trHeight w:val="239"/>
        </w:trPr>
        <w:tc>
          <w:tcPr>
            <w:tcW w:w="6903" w:type="dxa"/>
            <w:gridSpan w:val="2"/>
          </w:tcPr>
          <w:p w14:paraId="250CDEB6" w14:textId="71BD2526" w:rsidR="00DB02CB" w:rsidRDefault="00950BDD" w:rsidP="00DB02CB">
            <w:pPr>
              <w:spacing w:before="120"/>
              <w:rPr>
                <w:rFonts w:ascii="Verdana" w:hAnsi="Verdana"/>
                <w:b/>
                <w:lang w:val="ru-RU"/>
              </w:rPr>
            </w:pPr>
            <w:r>
              <w:rPr>
                <w:rFonts w:ascii="Verdana" w:hAnsi="Verdana"/>
                <w:b/>
                <w:lang w:val="ru-RU"/>
              </w:rPr>
              <w:t>1</w:t>
            </w:r>
            <w:r w:rsidR="001878D9" w:rsidRPr="001878D9">
              <w:rPr>
                <w:rFonts w:ascii="Verdana" w:hAnsi="Verdana"/>
                <w:b/>
                <w:lang w:val="ru-RU"/>
              </w:rPr>
              <w:t>7</w:t>
            </w:r>
            <w:r w:rsidRPr="00996D05">
              <w:rPr>
                <w:rFonts w:ascii="Verdana" w:hAnsi="Verdana"/>
                <w:b/>
                <w:lang w:val="ru-RU"/>
              </w:rPr>
              <w:t xml:space="preserve"> </w:t>
            </w:r>
            <w:r w:rsidR="001878D9">
              <w:rPr>
                <w:rFonts w:ascii="Verdana" w:hAnsi="Verdana"/>
                <w:b/>
                <w:lang w:val="ru-RU"/>
              </w:rPr>
              <w:t>но</w:t>
            </w:r>
            <w:r>
              <w:rPr>
                <w:rFonts w:ascii="Verdana" w:hAnsi="Verdana"/>
                <w:b/>
                <w:lang w:val="ru-RU"/>
              </w:rPr>
              <w:t>ября, 18:10-20</w:t>
            </w:r>
            <w:r w:rsidRPr="00996D05">
              <w:rPr>
                <w:rFonts w:ascii="Verdana" w:hAnsi="Verdana"/>
                <w:b/>
                <w:lang w:val="ru-RU"/>
              </w:rPr>
              <w:t>:00</w:t>
            </w:r>
            <w:r w:rsidR="00DB02CB">
              <w:rPr>
                <w:rFonts w:ascii="Verdana" w:hAnsi="Verdana"/>
                <w:b/>
                <w:lang w:val="ru-RU"/>
              </w:rPr>
              <w:br/>
            </w:r>
            <w:proofErr w:type="spellStart"/>
            <w:r>
              <w:rPr>
                <w:rFonts w:ascii="Verdana" w:hAnsi="Verdana"/>
                <w:b/>
                <w:lang w:val="ru-RU"/>
              </w:rPr>
              <w:t>Кочновский</w:t>
            </w:r>
            <w:proofErr w:type="spellEnd"/>
            <w:r>
              <w:rPr>
                <w:rFonts w:ascii="Verdana" w:hAnsi="Verdana"/>
                <w:b/>
                <w:lang w:val="ru-RU"/>
              </w:rPr>
              <w:t xml:space="preserve"> проезд, 3</w:t>
            </w:r>
            <w:r w:rsidRPr="00996D05">
              <w:rPr>
                <w:rFonts w:ascii="Verdana" w:hAnsi="Verdana"/>
                <w:b/>
                <w:lang w:val="ru-RU"/>
              </w:rPr>
              <w:t xml:space="preserve"> </w:t>
            </w:r>
            <w:r w:rsidR="00DB02CB">
              <w:rPr>
                <w:rFonts w:ascii="Verdana" w:hAnsi="Verdana"/>
                <w:b/>
                <w:lang w:val="ru-RU"/>
              </w:rPr>
              <w:br/>
            </w:r>
            <w:r w:rsidRPr="00996D05">
              <w:rPr>
                <w:rFonts w:ascii="Verdana" w:hAnsi="Verdana"/>
                <w:b/>
                <w:lang w:val="ru-RU"/>
              </w:rPr>
              <w:t>Лекционный зал Декарт</w:t>
            </w:r>
            <w:r>
              <w:rPr>
                <w:rFonts w:ascii="Verdana" w:hAnsi="Verdana"/>
                <w:b/>
                <w:lang w:val="ru-RU"/>
              </w:rPr>
              <w:t xml:space="preserve">, </w:t>
            </w:r>
            <w:r w:rsidRPr="00996D05">
              <w:rPr>
                <w:rFonts w:ascii="Verdana" w:hAnsi="Verdana"/>
                <w:b/>
                <w:lang w:val="ru-RU"/>
              </w:rPr>
              <w:t>3 этаж</w:t>
            </w:r>
            <w:bookmarkStart w:id="0" w:name="_GoBack"/>
            <w:bookmarkEnd w:id="0"/>
          </w:p>
          <w:p w14:paraId="79C8AB81" w14:textId="77777777" w:rsidR="00950BDD" w:rsidRPr="00DB02CB" w:rsidRDefault="00DB02CB" w:rsidP="00DB02CB">
            <w:pPr>
              <w:spacing w:before="120" w:after="120"/>
              <w:rPr>
                <w:rFonts w:ascii="Verdana" w:hAnsi="Verdana"/>
                <w:b/>
                <w:lang w:val="ru-RU"/>
              </w:rPr>
            </w:pPr>
            <w:r>
              <w:rPr>
                <w:rFonts w:ascii="Verdana" w:hAnsi="Verdana"/>
                <w:b/>
                <w:lang w:val="ru-RU"/>
              </w:rPr>
              <w:t>За</w:t>
            </w:r>
            <w:r w:rsidR="00950BDD" w:rsidRPr="00996D05">
              <w:rPr>
                <w:rFonts w:ascii="Verdana" w:hAnsi="Verdana"/>
                <w:b/>
                <w:lang w:val="ru-RU"/>
              </w:rPr>
              <w:t>казать пропуск на проход в здание</w:t>
            </w:r>
            <w:r w:rsidR="00950BDD" w:rsidRPr="00996D05">
              <w:rPr>
                <w:rFonts w:ascii="Verdana" w:hAnsi="Verdana"/>
                <w:b/>
                <w:lang w:val="ru-RU"/>
              </w:rPr>
              <w:br/>
              <w:t xml:space="preserve">можно на </w:t>
            </w:r>
            <w:proofErr w:type="spellStart"/>
            <w:r w:rsidR="00950BDD" w:rsidRPr="00996D05">
              <w:rPr>
                <w:rFonts w:ascii="Verdana" w:hAnsi="Verdana"/>
                <w:b/>
              </w:rPr>
              <w:t>computerscience</w:t>
            </w:r>
            <w:proofErr w:type="spellEnd"/>
            <w:r w:rsidR="00950BDD" w:rsidRPr="001878D9">
              <w:rPr>
                <w:rFonts w:ascii="Verdana" w:hAnsi="Verdana"/>
                <w:b/>
                <w:lang w:val="ru-RU"/>
              </w:rPr>
              <w:t>@</w:t>
            </w:r>
            <w:proofErr w:type="spellStart"/>
            <w:r w:rsidR="00950BDD" w:rsidRPr="00996D05">
              <w:rPr>
                <w:rFonts w:ascii="Verdana" w:hAnsi="Verdana"/>
                <w:b/>
              </w:rPr>
              <w:t>hse</w:t>
            </w:r>
            <w:proofErr w:type="spellEnd"/>
            <w:r w:rsidR="00950BDD" w:rsidRPr="001878D9">
              <w:rPr>
                <w:rFonts w:ascii="Verdana" w:hAnsi="Verdana"/>
                <w:b/>
                <w:lang w:val="ru-RU"/>
              </w:rPr>
              <w:t>.</w:t>
            </w:r>
            <w:proofErr w:type="spellStart"/>
            <w:r w:rsidR="00950BDD" w:rsidRPr="00996D05">
              <w:rPr>
                <w:rFonts w:ascii="Verdana" w:hAnsi="Verdana"/>
                <w:b/>
              </w:rPr>
              <w:t>ru</w:t>
            </w:r>
            <w:proofErr w:type="spellEnd"/>
          </w:p>
        </w:tc>
        <w:tc>
          <w:tcPr>
            <w:tcW w:w="3443" w:type="dxa"/>
          </w:tcPr>
          <w:p w14:paraId="22686754" w14:textId="0995E8F7" w:rsidR="00950BDD" w:rsidRDefault="00DD6431">
            <w:r>
              <w:rPr>
                <w:noProof/>
                <w:lang w:val="ru-RU"/>
              </w:rPr>
              <w:drawing>
                <wp:inline distT="0" distB="0" distL="0" distR="0" wp14:anchorId="5716EF05" wp14:editId="539E7075">
                  <wp:extent cx="1992378" cy="1378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rona.jpeg"/>
                          <pic:cNvPicPr/>
                        </pic:nvPicPr>
                        <pic:blipFill>
                          <a:blip r:embed="rId6">
                            <a:extLst>
                              <a:ext uri="{28A0092B-C50C-407E-A947-70E740481C1C}">
                                <a14:useLocalDpi xmlns:a14="http://schemas.microsoft.com/office/drawing/2010/main" val="0"/>
                              </a:ext>
                            </a:extLst>
                          </a:blip>
                          <a:stretch>
                            <a:fillRect/>
                          </a:stretch>
                        </pic:blipFill>
                        <pic:spPr>
                          <a:xfrm>
                            <a:off x="0" y="0"/>
                            <a:ext cx="2073079" cy="1434402"/>
                          </a:xfrm>
                          <a:prstGeom prst="rect">
                            <a:avLst/>
                          </a:prstGeom>
                        </pic:spPr>
                      </pic:pic>
                    </a:graphicData>
                  </a:graphic>
                </wp:inline>
              </w:drawing>
            </w:r>
          </w:p>
        </w:tc>
      </w:tr>
    </w:tbl>
    <w:p w14:paraId="2A77C9AE" w14:textId="77777777" w:rsidR="00F22774" w:rsidRDefault="001878D9"/>
    <w:sectPr w:rsidR="00F22774" w:rsidSect="00950BD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DD"/>
    <w:rsid w:val="000C01A8"/>
    <w:rsid w:val="001878D9"/>
    <w:rsid w:val="00444D2B"/>
    <w:rsid w:val="005914B0"/>
    <w:rsid w:val="00950BDD"/>
    <w:rsid w:val="00A95919"/>
    <w:rsid w:val="00DB02CB"/>
    <w:rsid w:val="00DD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0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5919"/>
    <w:rPr>
      <w:rFonts w:ascii="Tahoma" w:hAnsi="Tahoma" w:cs="Tahoma"/>
      <w:sz w:val="16"/>
      <w:szCs w:val="16"/>
    </w:rPr>
  </w:style>
  <w:style w:type="character" w:customStyle="1" w:styleId="a5">
    <w:name w:val="Текст выноски Знак"/>
    <w:basedOn w:val="a0"/>
    <w:link w:val="a4"/>
    <w:uiPriority w:val="99"/>
    <w:semiHidden/>
    <w:rsid w:val="00A9591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0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5919"/>
    <w:rPr>
      <w:rFonts w:ascii="Tahoma" w:hAnsi="Tahoma" w:cs="Tahoma"/>
      <w:sz w:val="16"/>
      <w:szCs w:val="16"/>
    </w:rPr>
  </w:style>
  <w:style w:type="character" w:customStyle="1" w:styleId="a5">
    <w:name w:val="Текст выноски Знак"/>
    <w:basedOn w:val="a0"/>
    <w:link w:val="a4"/>
    <w:uiPriority w:val="99"/>
    <w:semiHidden/>
    <w:rsid w:val="00A9591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1586</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Соболевский</dc:creator>
  <cp:lastModifiedBy>Пользователь Windows</cp:lastModifiedBy>
  <cp:revision>3</cp:revision>
  <dcterms:created xsi:type="dcterms:W3CDTF">2015-11-13T06:54:00Z</dcterms:created>
  <dcterms:modified xsi:type="dcterms:W3CDTF">2015-11-13T12:20:00Z</dcterms:modified>
</cp:coreProperties>
</file>