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64.0" w:type="dxa"/>
        <w:jc w:val="left"/>
        <w:tblInd w:w="-40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РЕГЛАМЕНТ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76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по организации участия студентов и аспирантов Факультета компьютерных наук Национального исследовательского университета «Высшая школа экономики» в научных мероприятиях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ОБЩИЕ ПОЛОЖЕНИЯ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390" w:hanging="39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Настоящий Регламент определяет порядок принятия решений Научной комиссией ФКН (далее Научной комиссией) о финансировании участия в научных мероприятиях студентов и аспирантов Факультета компьютерных наук (далее – Факультета) Национального исследовательского университета «Высшая школа экономики» (далее – НИУ ВШЭ).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after="0" w:before="0" w:lineRule="auto"/>
              <w:ind w:left="390" w:firstLine="0"/>
              <w:contextualSpacing w:val="1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Настоящий Регламент направлен на обеспечение прозрачности процесса принятия решений о финансировании, информационную открытость и равенство возможностей на получение финансирования. Критериями принятия решения являются: качество и тематика научного мероприятия, успеваемость претендента.</w:t>
            </w:r>
          </w:p>
          <w:p w:rsidR="00000000" w:rsidDel="00000000" w:rsidP="00000000" w:rsidRDefault="00000000" w:rsidRPr="00000000">
            <w:pPr>
              <w:ind w:left="39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390" w:hanging="39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Научные мероприятия включают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летние и зимние школы, конференции, семинары, симпозиумы, круглые столы, а также другие события, целью которых является обучение и/или представление новых научных результатов.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1.3. Общий объем финансирования на участие в научных мероприятиях устанавливается и определяется Научной комиссией.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ТРЕБОВАНИЯ К ПРЕТЕНДЕНТАМ НА ПРЕДОСТАВЛЕНИЕ ФИНАНСИРОВАНИЯ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2.1. На получение финансирования подаются индивидуальные заявки.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2.2. Каждый претендент может подавать одновременно несколько заявок на финансирование.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2.3. Финансирование могут получить студенты и аспиранты Факультета.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ПОРЯДОК И СРОКИ ПРЕДСТАВЛЕНИЯ ЗАЯВОК, ТРЕБОВАНИЯ К ОФОРМЛЕНИЮ ЗАЯВКИ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6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Заявка на финансирование подается через личный кабинет претендента.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6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Претендент может подать заявку в любое время в течение календарного года.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6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заявок, которые может подать претендент в год, лимиты финансирования в рамках одной поездки определяются Научной комиссией.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6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Заявки рассматриваются в порядке очередности поступления.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6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Заявка на участие в научном мероприятии за рубежом и в странах СНГ подается претендентом не позднее, чем за 45 дней до ее начала.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6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Заявка на участие в научном мероприятии на территории России подается претендентом не позднее, чем за 30 дней до ее начала.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6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 состав заявки должны входить приложения: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spacing w:after="0" w:before="0" w:line="240" w:lineRule="auto"/>
              <w:ind w:left="72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Приглашение от организации, которая устраивает научное мероприятие.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144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spacing w:after="0" w:before="0" w:line="240" w:lineRule="auto"/>
              <w:ind w:left="72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Мотивационное письмо претендента.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144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spacing w:after="0" w:before="0" w:line="240" w:lineRule="auto"/>
              <w:ind w:left="72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Рекомендация научного руководителя или преподавателя.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144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spacing w:after="0" w:before="0" w:line="240" w:lineRule="auto"/>
              <w:ind w:left="72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Успеваемость претендента (по желанию претендента некоторые оценки могут быть прокомментированы в мотивационном письме).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6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Заявки, оформленные с нарушением требований настоящего Регламента, не принимаются.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6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Научная комиссия вправе отложить рассмотрение заявки и запросить у претендента или его научного руководителя (или преподавателя) дополнительные сведения, касающиеся конкретизации условий участия в научном мероприятии или его результатов.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ПОРЯДОК ОТБОРА ЗАЯВОК НА ФИНАНСИРОВАНИЕ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743" w:hanging="709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Принятая к рассмотрению заявка направляется на экспертизу. Экспертиза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осуществляется членами Научной комиссии.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4.2.      Срок проведения экспертизы составляет не более 10 (десяти) рабочих дней.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743" w:hanging="709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743" w:hanging="709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Решение о поддержке заявки и выделении финансирования или отклонении заявки принимается Научной комиссией с учетом результатов экспертизы заявки.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743" w:hanging="709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Решение о финансировании доводится до сведения претендента с предоставлением ему выписки из протокола о поддержке заявки и выделении финансирования на участие в научном мероприятии в течение 3 (трех) рабочих дней с даты принятия решения.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743" w:hanging="709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Отчет об участии в научном мероприятии должен быть предоставлен претендентом ответственному секретарю Научной комиссии через 2 недели после окончания участия в научном мероприятии.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ОТЧЕТНОСТЬ ПО НАУЧНЫМ МЕРОПРИЯТИЯМ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743" w:right="0" w:hanging="709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</w:t>
      </w:r>
      <w:r w:rsidDel="00000000" w:rsidR="00000000" w:rsidRPr="00000000">
        <w:rPr>
          <w:sz w:val="26"/>
          <w:szCs w:val="26"/>
          <w:rtl w:val="0"/>
        </w:rPr>
        <w:t xml:space="preserve">аявитель предоставляет отчетный доклад по итогам участия в научном мероприятии на конференции, если такая конференция будет организована Научной комиссией.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результатам участия в научном мероприятии заявитель предоставляет в Научную комиссию организационный и финансовый отчет об участии в научном мероприятии по типовой форме согласно Приложению № 1 к настоящему Регламенту.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организационном отчете по результатам участия в научном мероприятии в обязательном порядке указываются: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- вид научного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- название научного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- место проведения научного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- наименование вуза, научного центра или специализированной организации, на базе которых проводилось мероприятие;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43" w:firstLine="673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- сроки проведения научного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6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- краткое описание содержания программы;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16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- знания, на  получение которых было направлено участие в научном мероприятии;</w:t>
      </w:r>
    </w:p>
    <w:p w:rsidR="00000000" w:rsidDel="00000000" w:rsidP="00000000" w:rsidRDefault="00000000" w:rsidRPr="00000000">
      <w:pPr>
        <w:ind w:left="1416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- материал для новости об участии в научном мероприятии. </w:t>
      </w:r>
    </w:p>
    <w:p w:rsidR="00000000" w:rsidDel="00000000" w:rsidP="00000000" w:rsidRDefault="00000000" w:rsidRPr="00000000">
      <w:pPr>
        <w:ind w:left="141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отчету прилагаются документы, оформляющие результаты, подтверждающие факт участия в мероприятии, в т.ч. копия документа (сертификата, диплома, свидетельства, удостоверения), программа мероприятия, перечень собранных материалов и т.п.</w:t>
      </w:r>
    </w:p>
    <w:p w:rsidR="00000000" w:rsidDel="00000000" w:rsidP="00000000" w:rsidRDefault="00000000" w:rsidRPr="00000000">
      <w:pPr>
        <w:ind w:left="74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Финансовым отчетом по результатам участия в мероприятии, является фактический бюджет в формате бюджета типовой заявки согласно Приложению 1 к настоящему Регламенту.</w:t>
      </w:r>
    </w:p>
    <w:p w:rsidR="00000000" w:rsidDel="00000000" w:rsidP="00000000" w:rsidRDefault="00000000" w:rsidRPr="00000000">
      <w:pPr>
        <w:tabs>
          <w:tab w:val="center" w:pos="4677"/>
          <w:tab w:val="right" w:pos="9355"/>
        </w:tabs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Организационный и финансовый отчет по результатам участия в научном мероприятии представляются в Научную комиссию в двухнедельный срок после окончания мероприятия.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Задержка отчета без уважительной причины или его неполное оформление влияет на предоставление финансирования работнику в дальнейшем.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60" w:firstLine="0"/>
        <w:contextualSpacing w:val="0"/>
      </w:pPr>
      <w:r w:rsidDel="00000000" w:rsidR="00000000" w:rsidRPr="00000000">
        <w:rPr>
          <w:rtl w:val="0"/>
        </w:rPr>
        <w:t xml:space="preserve">Приложение № 1 к Регламенту по </w:t>
      </w:r>
      <w:r w:rsidDel="00000000" w:rsidR="00000000" w:rsidRPr="00000000">
        <w:rPr>
          <w:rtl w:val="0"/>
        </w:rPr>
        <w:t xml:space="preserve">по организации участия студентов и аспирантов </w:t>
      </w:r>
      <w:r w:rsidDel="00000000" w:rsidR="00000000" w:rsidRPr="00000000">
        <w:rPr>
          <w:rtl w:val="0"/>
        </w:rPr>
        <w:t xml:space="preserve">Национального исследовательского университета «Высшая школа экономики» в научных мероприятиях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Отчет об участии в научном мероприятии (типовая форма)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-36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Фамилия, имя, отчество______________________________________________________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-36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Должность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-36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Наименование структурного подразделения_____________________________________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left="-360" w:firstLine="0"/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I. Содержательная характеристика участия в научном мероприятии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firstLine="0"/>
        <w:contextualSpacing w:val="0"/>
        <w:jc w:val="center"/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1.1. Общие сведения о научном мероприятии</w:t>
      </w:r>
      <w:r w:rsidDel="00000000" w:rsidR="00000000" w:rsidRPr="00000000">
        <w:rPr>
          <w:i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125.0" w:type="dxa"/>
        <w:jc w:val="left"/>
        <w:tblInd w:w="-5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367"/>
        <w:gridCol w:w="5758"/>
        <w:tblGridChange w:id="0">
          <w:tblGrid>
            <w:gridCol w:w="4367"/>
            <w:gridCol w:w="575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Форма научного мероприятия: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color w:val="0000ff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34"/>
              </w:tabs>
              <w:ind w:left="-6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(летняя/зимняя школа, конференция, семинар и т.д.)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Название мероприятия: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(тема в соответствии с заявкой)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Место проведения мероприятия: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34"/>
              </w:tabs>
              <w:ind w:left="-6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(город, страна)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34"/>
              </w:tabs>
              <w:ind w:left="-6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Базовая организация: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34"/>
              </w:tabs>
              <w:ind w:left="-6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(название вуза, научного центра или специализированной организации, на базе которых проводилось мероприятие)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Сроки повышения мероприятия: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34"/>
              </w:tabs>
              <w:ind w:left="-6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начало: 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34"/>
              </w:tabs>
              <w:ind w:left="-6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окончание: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34"/>
              </w:tabs>
              <w:ind w:left="-6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продолжительность: _____ дней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contextualSpacing w:val="0"/>
        <w:jc w:val="center"/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1.2. Содержательные результаты участия в научном мероприятии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В рамках данного мероприятия были рассмотрены следующие основные тематические вопросы: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480" w:lineRule="auto"/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(краткое описание содержания программы мероприятия и состава специалистов)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В рамках участия в научном мероприятии были проведены встречи с:  </w:t>
      </w:r>
      <w:r w:rsidDel="00000000" w:rsidR="00000000" w:rsidRPr="00000000">
        <w:rPr>
          <w:i w:val="1"/>
          <w:rtl w:val="0"/>
        </w:rPr>
        <w:t xml:space="preserve">(указать ФИО, должность, организацию, основные итоги встреч)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ind w:firstLine="72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Участие __________________ в 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                         </w:t>
      </w:r>
      <w:r w:rsidDel="00000000" w:rsidR="00000000" w:rsidRPr="00000000">
        <w:rPr>
          <w:i w:val="1"/>
          <w:rtl w:val="0"/>
        </w:rPr>
        <w:t xml:space="preserve">(ФИО)                   </w:t>
      </w:r>
      <w:r w:rsidDel="00000000" w:rsidR="00000000" w:rsidRPr="00000000">
        <w:rPr>
          <w:sz w:val="26"/>
          <w:szCs w:val="26"/>
          <w:rtl w:val="0"/>
        </w:rPr>
        <w:t xml:space="preserve">         </w:t>
      </w:r>
      <w:r w:rsidDel="00000000" w:rsidR="00000000" w:rsidRPr="00000000">
        <w:rPr>
          <w:i w:val="1"/>
          <w:rtl w:val="0"/>
        </w:rPr>
        <w:t xml:space="preserve">(форма и название научного мероприятия)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обеспечило совершенствование навыков ……., позволило получить новые знания по 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480" w:lineRule="auto"/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(описание навыков, на  совершенствование которых было направлено участие в мероприятии)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480" w:lineRule="auto"/>
        <w:ind w:left="0" w:right="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Оценка мероприятия по 5-бальной шкале: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480" w:lineRule="auto"/>
        <w:ind w:left="0" w:right="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1. Состав докладчиков:____________________________________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480" w:lineRule="auto"/>
        <w:ind w:left="0" w:right="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2. Состав участников:_____________________________________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480" w:lineRule="auto"/>
        <w:ind w:left="0" w:right="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3. Знания, полученные на школе/конференции: 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480" w:lineRule="auto"/>
        <w:ind w:left="0" w:right="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4. Общая оценка мероприятия (в том числе комментарии к оценке):_____________________________</w:t>
      </w:r>
    </w:p>
    <w:p w:rsidR="00000000" w:rsidDel="00000000" w:rsidP="00000000" w:rsidRDefault="00000000" w:rsidRPr="00000000">
      <w:pPr>
        <w:spacing w:after="120" w:line="480" w:lineRule="auto"/>
        <w:contextualSpacing w:val="0"/>
        <w:jc w:val="both"/>
      </w:pPr>
      <w:r w:rsidDel="00000000" w:rsidR="00000000" w:rsidRPr="00000000">
        <w:rPr>
          <w:b w:val="1"/>
          <w:i w:val="1"/>
          <w:rtl w:val="0"/>
        </w:rPr>
        <w:t xml:space="preserve">(оценка научного мероприятия не влияет на решение Научной комиссии, но может быть использована при рассмотрении заявок на участие в этом мероприятии в дальнейшем)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48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480" w:lineRule="auto"/>
        <w:ind w:firstLine="709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К отчету прилагаются: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ind w:left="-36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1.________________________________________________________________________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ind w:left="-36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2.________________________________________________________________________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ind w:left="-36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3.________________________________________________________________________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ind w:left="-36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4.________________________________________________________________________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ind w:left="-360" w:firstLine="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5.________________________________________________________________________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79"/>
        </w:tabs>
        <w:ind w:left="-360" w:firstLine="0"/>
        <w:contextualSpacing w:val="0"/>
        <w:jc w:val="both"/>
      </w:pPr>
      <w:r w:rsidDel="00000000" w:rsidR="00000000" w:rsidRPr="00000000">
        <w:rPr>
          <w:i w:val="1"/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указать здесь и приложить к отчету программу мероприятия, перечень собранных материалов, документы, подтверждающие факт участия в мероприятии, в т.ч. копию сертификата/диплома/свидетельства, и другие материалы</w:t>
      </w:r>
      <w:r w:rsidDel="00000000" w:rsidR="00000000" w:rsidRPr="00000000">
        <w:rPr>
          <w:i w:val="1"/>
          <w:sz w:val="26"/>
          <w:szCs w:val="26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79"/>
        </w:tabs>
        <w:contextualSpacing w:val="0"/>
        <w:jc w:val="center"/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1.3. Материал для новости об участии в научном мероприятии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79"/>
        </w:tabs>
        <w:ind w:left="-360" w:firstLine="0"/>
        <w:contextualSpacing w:val="0"/>
        <w:jc w:val="both"/>
      </w:pPr>
      <w:r w:rsidDel="00000000" w:rsidR="00000000" w:rsidRPr="00000000">
        <w:rPr>
          <w:i w:val="1"/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материал для новости на сайте Факультета об участии в научном мероприятии - 0.5 стр.)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II. Финансовый отчет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5"/>
        <w:contextualSpacing w:val="0"/>
        <w:jc w:val="center"/>
      </w:pPr>
      <w:r w:rsidDel="00000000" w:rsidR="00000000" w:rsidRPr="00000000">
        <w:rPr>
          <w:rtl w:val="0"/>
        </w:rPr>
        <w:t xml:space="preserve">(состав фактических расходов)</w:t>
      </w:r>
    </w:p>
    <w:tbl>
      <w:tblPr>
        <w:tblStyle w:val="Table3"/>
        <w:bidiVisual w:val="0"/>
        <w:tblW w:w="9780.0" w:type="dxa"/>
        <w:jc w:val="left"/>
        <w:tblInd w:w="-1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4"/>
        <w:gridCol w:w="1440"/>
        <w:gridCol w:w="1296"/>
        <w:gridCol w:w="1106"/>
        <w:gridCol w:w="3394"/>
        <w:tblGridChange w:id="0">
          <w:tblGrid>
            <w:gridCol w:w="2544"/>
            <w:gridCol w:w="1440"/>
            <w:gridCol w:w="1296"/>
            <w:gridCol w:w="1106"/>
            <w:gridCol w:w="3394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Статьи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-108" w:right="-96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Количество единиц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-108" w:right="-72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Стоимость единицы (руб.)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Сумма (руб.)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Отчетный документ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Проезд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Проживание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Дней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Регистрационный взнос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Трансферт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Медицинская страховка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Визовая поддержка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Другие расходы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(указать какие именно)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ИТОГ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08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Отчет представил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____________________                  ______________                 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sz w:val="22"/>
          <w:szCs w:val="22"/>
          <w:rtl w:val="0"/>
        </w:rPr>
        <w:t xml:space="preserve">              (должность)                                            (подпись)                                            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«____»__________________20____г.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Отчет принял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125.0" w:type="dxa"/>
        <w:jc w:val="left"/>
        <w:tblInd w:w="-530.0" w:type="dxa"/>
        <w:tblLayout w:type="fixed"/>
        <w:tblLook w:val="0400"/>
      </w:tblPr>
      <w:tblGrid>
        <w:gridCol w:w="2293"/>
        <w:gridCol w:w="2401"/>
        <w:gridCol w:w="1954"/>
        <w:gridCol w:w="1726"/>
        <w:gridCol w:w="1751"/>
        <w:tblGridChange w:id="0">
          <w:tblGrid>
            <w:gridCol w:w="2293"/>
            <w:gridCol w:w="2401"/>
            <w:gridCol w:w="1954"/>
            <w:gridCol w:w="1726"/>
            <w:gridCol w:w="1751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Руководитель структурного подразделения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(или координирующий  деятельность подразделения руководитель НИУ ВШЭ)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77"/>
          <w:tab w:val="right" w:pos="9355"/>
        </w:tabs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77"/>
          <w:tab w:val="right" w:pos="9355"/>
        </w:tabs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77"/>
          <w:tab w:val="right" w:pos="9355"/>
        </w:tabs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77"/>
          <w:tab w:val="right" w:pos="9355"/>
        </w:tabs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77"/>
          <w:tab w:val="right" w:pos="9355"/>
        </w:tabs>
        <w:ind w:left="0" w:firstLine="0"/>
        <w:contextualSpacing w:val="0"/>
        <w:jc w:val="both"/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decimal"/>
      <w:lvlText w:val="%1"/>
      <w:lvlJc w:val="left"/>
      <w:pPr>
        <w:ind w:left="360" w:firstLine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firstLine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firstLine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b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/>
    </w:lvl>
    <w:lvl w:ilvl="1">
      <w:start w:val="1"/>
      <w:numFmt w:val="decimal"/>
      <w:lvlText w:val="%1.%2."/>
      <w:lvlJc w:val="left"/>
      <w:pPr>
        <w:ind w:left="1080" w:firstLine="1440"/>
      </w:pPr>
      <w:rPr/>
    </w:lvl>
    <w:lvl w:ilvl="2">
      <w:start w:val="1"/>
      <w:numFmt w:val="decimal"/>
      <w:lvlText w:val="%1.%2.%3."/>
      <w:lvlJc w:val="left"/>
      <w:pPr>
        <w:ind w:left="1080" w:firstLine="1440"/>
      </w:pPr>
      <w:rPr/>
    </w:lvl>
    <w:lvl w:ilvl="3">
      <w:start w:val="1"/>
      <w:numFmt w:val="decimal"/>
      <w:lvlText w:val="%1.%2.%3.%4."/>
      <w:lvlJc w:val="left"/>
      <w:pPr>
        <w:ind w:left="1440" w:firstLine="1800"/>
      </w:pPr>
      <w:rPr/>
    </w:lvl>
    <w:lvl w:ilvl="4">
      <w:start w:val="1"/>
      <w:numFmt w:val="decimal"/>
      <w:lvlText w:val="%1.%2.%3.%4.%5."/>
      <w:lvlJc w:val="left"/>
      <w:pPr>
        <w:ind w:left="1440" w:firstLine="1800"/>
      </w:pPr>
      <w:rPr/>
    </w:lvl>
    <w:lvl w:ilvl="5">
      <w:start w:val="1"/>
      <w:numFmt w:val="decimal"/>
      <w:lvlText w:val="%1.%2.%3.%4.%5.%6."/>
      <w:lvlJc w:val="left"/>
      <w:pPr>
        <w:ind w:left="1800" w:firstLine="2160"/>
      </w:pPr>
      <w:rPr/>
    </w:lvl>
    <w:lvl w:ilvl="6">
      <w:start w:val="1"/>
      <w:numFmt w:val="decimal"/>
      <w:lvlText w:val="%1.%2.%3.%4.%5.%6.%7."/>
      <w:lvlJc w:val="left"/>
      <w:pPr>
        <w:ind w:left="1800" w:firstLine="2160"/>
      </w:pPr>
      <w:rPr/>
    </w:lvl>
    <w:lvl w:ilvl="7">
      <w:start w:val="1"/>
      <w:numFmt w:val="decimal"/>
      <w:lvlText w:val="%1.%2.%3.%4.%5.%6.%7.%8."/>
      <w:lvlJc w:val="left"/>
      <w:pPr>
        <w:ind w:left="2160" w:firstLine="2520"/>
      </w:pPr>
      <w:rPr/>
    </w:lvl>
    <w:lvl w:ilvl="8">
      <w:start w:val="1"/>
      <w:numFmt w:val="decimal"/>
      <w:lvlText w:val="%1.%2.%3.%4.%5.%6.%7.%8.%9."/>
      <w:lvlJc w:val="left"/>
      <w:pPr>
        <w:ind w:left="2160" w:firstLine="252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90" w:firstLine="390"/>
      </w:pPr>
      <w:rPr/>
    </w:lvl>
    <w:lvl w:ilvl="1">
      <w:start w:val="1"/>
      <w:numFmt w:val="decimal"/>
      <w:lvlText w:val="%1.%2"/>
      <w:lvlJc w:val="left"/>
      <w:pPr>
        <w:ind w:left="390" w:firstLine="390"/>
      </w:pPr>
      <w:rPr/>
    </w:lvl>
    <w:lvl w:ilvl="2">
      <w:start w:val="1"/>
      <w:numFmt w:val="decimal"/>
      <w:lvlText w:val="%1.%2.%3"/>
      <w:lvlJc w:val="left"/>
      <w:pPr>
        <w:ind w:left="720" w:firstLine="720"/>
      </w:pPr>
      <w:rPr/>
    </w:lvl>
    <w:lvl w:ilvl="3">
      <w:start w:val="1"/>
      <w:numFmt w:val="decimal"/>
      <w:lvlText w:val="%1.%2.%3.%4"/>
      <w:lvlJc w:val="left"/>
      <w:pPr>
        <w:ind w:left="720" w:firstLine="720"/>
      </w:pPr>
      <w:rPr/>
    </w:lvl>
    <w:lvl w:ilvl="4">
      <w:start w:val="1"/>
      <w:numFmt w:val="decimal"/>
      <w:lvlText w:val="%1.%2.%3.%4.%5"/>
      <w:lvlJc w:val="left"/>
      <w:pPr>
        <w:ind w:left="1080" w:firstLine="1080"/>
      </w:pPr>
      <w:rPr/>
    </w:lvl>
    <w:lvl w:ilvl="5">
      <w:start w:val="1"/>
      <w:numFmt w:val="decimal"/>
      <w:lvlText w:val="%1.%2.%3.%4.%5.%6"/>
      <w:lvlJc w:val="left"/>
      <w:pPr>
        <w:ind w:left="1440" w:firstLine="1440"/>
      </w:pPr>
      <w:rPr/>
    </w:lvl>
    <w:lvl w:ilvl="6">
      <w:start w:val="1"/>
      <w:numFmt w:val="decimal"/>
      <w:lvlText w:val="%1.%2.%3.%4.%5.%6.%7"/>
      <w:lvlJc w:val="left"/>
      <w:pPr>
        <w:ind w:left="1440" w:firstLine="1440"/>
      </w:pPr>
      <w:rPr/>
    </w:lvl>
    <w:lvl w:ilvl="7">
      <w:start w:val="1"/>
      <w:numFmt w:val="decimal"/>
      <w:lvlText w:val="%1.%2.%3.%4.%5.%6.%7.%8"/>
      <w:lvlJc w:val="left"/>
      <w:pPr>
        <w:ind w:left="1800" w:firstLine="1800"/>
      </w:pPr>
      <w:rPr/>
    </w:lvl>
    <w:lvl w:ilvl="8">
      <w:start w:val="1"/>
      <w:numFmt w:val="decimal"/>
      <w:lvlText w:val="%1.%2.%3.%4.%5.%6.%7.%8.%9"/>
      <w:lvlJc w:val="left"/>
      <w:pPr>
        <w:ind w:left="1800" w:firstLine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