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5BD1" w14:textId="77777777" w:rsidR="00BA6398" w:rsidRPr="00BA6398" w:rsidRDefault="00BA6398" w:rsidP="006A7D5D">
      <w:pPr>
        <w:spacing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6398">
        <w:rPr>
          <w:rFonts w:ascii="Times New Roman" w:hAnsi="Times New Roman" w:cs="Times New Roman"/>
          <w:sz w:val="26"/>
          <w:szCs w:val="26"/>
        </w:rPr>
        <w:t>Приложение</w:t>
      </w:r>
    </w:p>
    <w:p w14:paraId="679955A9" w14:textId="77777777" w:rsidR="00BA6398" w:rsidRPr="00BA6398" w:rsidRDefault="00BA6398" w:rsidP="006A7D5D">
      <w:pPr>
        <w:spacing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bookmarkStart w:id="1" w:name="_heading=h.gjdgxs" w:colFirst="0" w:colLast="0"/>
      <w:bookmarkEnd w:id="1"/>
    </w:p>
    <w:p w14:paraId="0078349A" w14:textId="77777777" w:rsidR="00BA6398" w:rsidRPr="00BA6398" w:rsidRDefault="00BA6398" w:rsidP="006A7D5D">
      <w:pPr>
        <w:spacing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BA6398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14:paraId="1E86A342" w14:textId="77777777" w:rsidR="00BA6398" w:rsidRPr="00BA6398" w:rsidRDefault="00BA6398" w:rsidP="006A7D5D">
      <w:pPr>
        <w:spacing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BA6398">
        <w:rPr>
          <w:rFonts w:ascii="Times New Roman" w:hAnsi="Times New Roman" w:cs="Times New Roman"/>
          <w:sz w:val="26"/>
          <w:szCs w:val="26"/>
        </w:rPr>
        <w:t>приказом НИУ ВШЭ</w:t>
      </w:r>
    </w:p>
    <w:p w14:paraId="2E31CE01" w14:textId="77777777" w:rsidR="00BA6398" w:rsidRPr="00BA6398" w:rsidRDefault="00BA6398" w:rsidP="006A7D5D">
      <w:pPr>
        <w:spacing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BA6398">
        <w:rPr>
          <w:rFonts w:ascii="Times New Roman" w:hAnsi="Times New Roman" w:cs="Times New Roman"/>
          <w:sz w:val="26"/>
          <w:szCs w:val="26"/>
        </w:rPr>
        <w:t xml:space="preserve">от                    № </w:t>
      </w:r>
    </w:p>
    <w:p w14:paraId="47B8D617" w14:textId="77777777" w:rsidR="00BA6398" w:rsidRDefault="00BA6398" w:rsidP="004670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8FA0AC2" w14:textId="77777777" w:rsidR="008B5D38" w:rsidRDefault="00430A4B" w:rsidP="006A7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</w:t>
      </w:r>
      <w:r w:rsidRPr="00BA639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оложение</w:t>
      </w:r>
      <w:r w:rsidR="00BA6398" w:rsidRPr="00BA639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C71D15" w:rsidRPr="00BA6398">
        <w:rPr>
          <w:rFonts w:ascii="Times New Roman" w:eastAsia="Times New Roman" w:hAnsi="Times New Roman" w:cs="Times New Roman"/>
          <w:b/>
          <w:sz w:val="26"/>
          <w:szCs w:val="26"/>
        </w:rPr>
        <w:t>о конкурсе исследовательских работ абитуриентов факультета компьютерных наук</w:t>
      </w:r>
    </w:p>
    <w:p w14:paraId="4B7B80E7" w14:textId="4BA79491" w:rsidR="00BA6398" w:rsidRDefault="00BA6398" w:rsidP="006A7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FB53B7" w14:textId="77777777" w:rsidR="006A7D5D" w:rsidRPr="00430A4B" w:rsidRDefault="006A7D5D" w:rsidP="006A7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0D023F" w14:textId="77777777" w:rsidR="008B5D38" w:rsidRPr="00BA6398" w:rsidRDefault="00C71D15" w:rsidP="006A7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6398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14:paraId="7A1C0D0A" w14:textId="103B2F51" w:rsidR="008B5D38" w:rsidRPr="00A206F9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Настоящее </w:t>
      </w:r>
      <w:r w:rsidR="00430A4B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конкурса исследовательских работ абитуриентов факультета компьютерных наук</w:t>
      </w:r>
      <w:r w:rsidR="00A206F9">
        <w:rPr>
          <w:rFonts w:ascii="Times New Roman" w:eastAsia="Times New Roman" w:hAnsi="Times New Roman" w:cs="Times New Roman"/>
          <w:sz w:val="26"/>
          <w:szCs w:val="26"/>
          <w:lang w:val="ru-RU"/>
        </w:rPr>
        <w:t>, поступающих в рамках общего конкурса,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 определяет порядок организации и проведения конкурса исследовательских работ абитуриентов</w:t>
      </w:r>
      <w:r w:rsidR="00BA639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факультета компьютерных наук (далее </w:t>
      </w:r>
      <w:r w:rsidR="00BA6398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Конкурс), его организационно-методическое обеспечение, порядок 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условия участия в Конкурсе.</w:t>
      </w:r>
    </w:p>
    <w:p w14:paraId="212D36E4" w14:textId="097F51DC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Конкурс проводится с целью развития у школьников творческих способностей, интереса к исследовательской деятельности, популяризации и пропаганды научных знаний, выявления одаренных школьников в области исследовательской деятельности.</w:t>
      </w:r>
    </w:p>
    <w:p w14:paraId="5E9F7EDA" w14:textId="2C2BF311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Организатором Конкурса является факультет компьютерных наук НИУ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ВШЭ.</w:t>
      </w:r>
    </w:p>
    <w:p w14:paraId="27D2499D" w14:textId="0EF5F251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Даты проведения Конкурса </w:t>
      </w:r>
      <w:r w:rsidR="00430A4B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.06.2022 по 10.07.2022</w:t>
      </w:r>
      <w:r w:rsidR="00A21409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495ECC66" w14:textId="204D55CA" w:rsidR="008B5D38" w:rsidRDefault="00C71D15" w:rsidP="006A7D5D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подача заявок и материалов </w:t>
      </w:r>
      <w:r w:rsidR="00430A4B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="00A206F9">
        <w:rPr>
          <w:rFonts w:ascii="Times New Roman" w:eastAsia="Times New Roman" w:hAnsi="Times New Roman" w:cs="Times New Roman"/>
          <w:sz w:val="26"/>
          <w:szCs w:val="26"/>
          <w:lang w:val="ru-RU"/>
        </w:rPr>
        <w:t>16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.05.2022 по 01.06.2022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4D44004" w14:textId="429AA430" w:rsidR="008B5D38" w:rsidRDefault="00C71D15" w:rsidP="006A7D5D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заочный этап </w:t>
      </w:r>
      <w:r w:rsidR="00430A4B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0B3CE6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0B3C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.06.2022 по 20.06.2022</w:t>
      </w:r>
      <w:r w:rsidR="000B3C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45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июня 2022 </w:t>
      </w:r>
      <w:r w:rsidR="000B3CE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20 июня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DA8C6EC" w14:textId="77E7BE40" w:rsidR="00430A4B" w:rsidRDefault="00C71D15" w:rsidP="006A7D5D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очный этап </w:t>
      </w:r>
      <w:r w:rsidR="00430A4B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="000B3CE6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.06.2022 по 30.06.2022</w:t>
      </w:r>
      <w:r w:rsidR="00430A4B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7EE43408" w14:textId="1B6B5893" w:rsidR="008B5D38" w:rsidRDefault="00AC662E" w:rsidP="006A7D5D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подведение итогов, </w:t>
      </w:r>
      <w:r w:rsidR="00430A4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определение победителей – 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.07.2022 по 10.07.2022</w:t>
      </w:r>
      <w:r w:rsidR="00DC7451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13AD111E" w14:textId="77777777" w:rsidR="00BA6398" w:rsidRDefault="00BA6398" w:rsidP="006A7D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766943" w14:textId="77777777" w:rsidR="008B5D38" w:rsidRPr="00BA6398" w:rsidRDefault="00C71D15" w:rsidP="006A7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6398">
        <w:rPr>
          <w:rFonts w:ascii="Times New Roman" w:eastAsia="Times New Roman" w:hAnsi="Times New Roman" w:cs="Times New Roman"/>
          <w:b/>
          <w:sz w:val="26"/>
          <w:szCs w:val="26"/>
        </w:rPr>
        <w:t>2. Участники Конкурса</w:t>
      </w:r>
    </w:p>
    <w:p w14:paraId="66B12679" w14:textId="30B81F64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Участниками Конкурса являются учащиеся 11 классов общеобразовательных организаций, </w:t>
      </w:r>
      <w:r w:rsidR="00173162">
        <w:rPr>
          <w:rFonts w:ascii="Times New Roman" w:eastAsia="Times New Roman" w:hAnsi="Times New Roman" w:cs="Times New Roman"/>
          <w:sz w:val="26"/>
          <w:szCs w:val="26"/>
          <w:lang w:val="ru-RU"/>
        </w:rPr>
        <w:t>поступающих в рамках общего конкурса</w:t>
      </w:r>
      <w:r w:rsidR="00173162">
        <w:rPr>
          <w:rFonts w:ascii="Times New Roman" w:eastAsia="Times New Roman" w:hAnsi="Times New Roman" w:cs="Times New Roman"/>
          <w:sz w:val="26"/>
          <w:szCs w:val="26"/>
        </w:rPr>
        <w:t>,</w:t>
      </w:r>
      <w:r w:rsidR="0017316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которые представляют исследовательские работы, отражающие результаты самостоятельных исследований, 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получившие диплом высшей степени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 xml:space="preserve"> на конференциях и конкурсах,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определенных оргкомитетом 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6A7D5D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0B3CE6"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риложение 1)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1DE8F8" w14:textId="6542B2DA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Для участия в Конкурсе необходимо подать заявку, прикрепив свою работу, документ, подтверждающий статус победителя на одном из конкурсов </w:t>
      </w:r>
      <w:r w:rsidR="00237527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="00237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237527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за период </w:t>
      </w:r>
      <w:r w:rsidR="00AC66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обучения в </w:t>
      </w:r>
      <w:r>
        <w:rPr>
          <w:rFonts w:ascii="Times New Roman" w:eastAsia="Times New Roman" w:hAnsi="Times New Roman" w:cs="Times New Roman"/>
          <w:sz w:val="26"/>
          <w:szCs w:val="26"/>
        </w:rPr>
        <w:t>10-11 класс</w:t>
      </w:r>
      <w:r w:rsidR="00AC662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согласие на обработку персональных данных.</w:t>
      </w:r>
    </w:p>
    <w:p w14:paraId="577F32FB" w14:textId="1CD9A4EA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 Возможность представления на Конкурс работ, выполненных коллективом/группой, устанавливается экспертной комиссией до начала подачи заявок и материалов. Количество соавторов работы в случае представления коллективной работы не должно превышать 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14:paraId="45D3AC90" w14:textId="4CBFF7F8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В случае выявления в конкурсной работе плагиата на любом этапе Конкурса все результаты участника или коллектива участников аннулируются. Плагиат определяется как использование в письменной работе чужого текста, опубликованного в бумажном или электронном виде, без полной ссылки на источник или со ссылками на источник, но когда объем и характер заимствований ставят под сомнение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самостоятельность выполненной работы или одного из ее основных разделов. Плагиат может осуществляться в двух видах: дословное изложение чужого текста, парафраза </w:t>
      </w:r>
      <w:r w:rsidR="00AC662E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изложение чужого текста с заменой слов и выражений без изменения содержания заимствованного текста.</w:t>
      </w:r>
    </w:p>
    <w:p w14:paraId="648FE0EF" w14:textId="77777777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 Апелляция на результаты Конкурса не предусматривается</w:t>
      </w:r>
      <w:r w:rsidR="00AC66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C662E">
        <w:rPr>
          <w:rFonts w:ascii="Times New Roman" w:eastAsia="Times New Roman" w:hAnsi="Times New Roman" w:cs="Times New Roman"/>
          <w:sz w:val="26"/>
          <w:szCs w:val="26"/>
        </w:rPr>
        <w:t>ни на одном из этапов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B51BBE" w14:textId="77777777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2.6. Взимание платы за участие в Конкурсе не допускается.</w:t>
      </w:r>
    </w:p>
    <w:p w14:paraId="04F64FF3" w14:textId="77777777" w:rsidR="008B5D38" w:rsidRPr="00B66B36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2.7. Рабочим языком проведения Конкурса является русский язык</w:t>
      </w:r>
      <w:r w:rsidR="00DC7451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865BD91" w14:textId="77777777" w:rsidR="00BA6398" w:rsidRDefault="00BA6398" w:rsidP="006A7D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266EE4" w14:textId="77777777" w:rsidR="008B5D38" w:rsidRPr="00BA6398" w:rsidRDefault="00C71D15" w:rsidP="006A7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6398">
        <w:rPr>
          <w:rFonts w:ascii="Times New Roman" w:eastAsia="Times New Roman" w:hAnsi="Times New Roman" w:cs="Times New Roman"/>
          <w:b/>
          <w:sz w:val="26"/>
          <w:szCs w:val="26"/>
        </w:rPr>
        <w:t>3. Оргкомитет и экспертная комиссия</w:t>
      </w:r>
    </w:p>
    <w:p w14:paraId="47790D8D" w14:textId="2EA44331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 Для организации и проведения Конкурса</w:t>
      </w:r>
      <w:r w:rsidR="007531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приказом </w:t>
      </w:r>
      <w:r w:rsidR="00D07506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</w:t>
      </w:r>
      <w:r w:rsidR="00A56F6F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организационный комитет (далее – оргкомитет)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который могут входить преподаватели и сотрудники факультета компьютерных наук, а также представители </w:t>
      </w:r>
      <w:r w:rsidR="00EF3764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="00EF3764" w:rsidRPr="00BE11F5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EF376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компаний. </w:t>
      </w:r>
      <w:r>
        <w:rPr>
          <w:rFonts w:ascii="Times New Roman" w:eastAsia="Times New Roman" w:hAnsi="Times New Roman" w:cs="Times New Roman"/>
          <w:sz w:val="26"/>
          <w:szCs w:val="26"/>
        </w:rPr>
        <w:t>Оргкомитет осуществляет руководство подготовкой и проведением Конкурса, определяет состав экспертной комиссии.</w:t>
      </w:r>
    </w:p>
    <w:p w14:paraId="0A09A348" w14:textId="6D3FAE1D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В экспертную комиссию входят ведущие преподаватели факультета компьютерных наук, а также представители </w:t>
      </w:r>
      <w:r w:rsidR="00EF3764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="00EF3764" w:rsidRPr="00D1778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EF3764">
        <w:rPr>
          <w:rFonts w:ascii="Times New Roman" w:eastAsia="Times New Roman" w:hAnsi="Times New Roman" w:cs="Times New Roman"/>
          <w:sz w:val="26"/>
          <w:szCs w:val="26"/>
          <w:lang w:val="ru-RU"/>
        </w:rPr>
        <w:t>компаний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C9B874" w14:textId="69B11432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 Экспертная комиссия Конкурса оценивает работы в два этапа</w:t>
      </w:r>
      <w:r w:rsidR="00AC662E" w:rsidRPr="00AC6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66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AC662E">
        <w:rPr>
          <w:rFonts w:ascii="Times New Roman" w:eastAsia="Times New Roman" w:hAnsi="Times New Roman" w:cs="Times New Roman"/>
          <w:sz w:val="26"/>
          <w:szCs w:val="26"/>
        </w:rPr>
        <w:t>оформляют протокол сводных результатов Конкурса (</w:t>
      </w:r>
      <w:r w:rsidR="00A56F6F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AC662E">
        <w:rPr>
          <w:rFonts w:ascii="Times New Roman" w:eastAsia="Times New Roman" w:hAnsi="Times New Roman" w:cs="Times New Roman"/>
          <w:sz w:val="26"/>
          <w:szCs w:val="26"/>
        </w:rPr>
        <w:t>риложение 2)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BB615EE" w14:textId="4E14F5C7" w:rsidR="008B5D38" w:rsidRDefault="00C71D15" w:rsidP="006A7D5D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оценивание. </w:t>
      </w:r>
      <w:r w:rsidR="00AC662E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AC662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="00AC662E">
        <w:rPr>
          <w:rFonts w:ascii="Times New Roman" w:eastAsia="Times New Roman" w:hAnsi="Times New Roman" w:cs="Times New Roman"/>
          <w:sz w:val="26"/>
          <w:szCs w:val="26"/>
        </w:rPr>
        <w:t xml:space="preserve">очного этапа Конкурса экспертная комиссия оценивает </w:t>
      </w:r>
      <w:r w:rsidR="00AC662E">
        <w:rPr>
          <w:rFonts w:ascii="Times New Roman" w:eastAsia="Times New Roman" w:hAnsi="Times New Roman" w:cs="Times New Roman"/>
          <w:sz w:val="26"/>
          <w:szCs w:val="26"/>
          <w:lang w:val="ru-RU"/>
        </w:rPr>
        <w:t>текст работы</w:t>
      </w:r>
      <w:r w:rsidR="00AC662E">
        <w:rPr>
          <w:rFonts w:ascii="Times New Roman" w:eastAsia="Times New Roman" w:hAnsi="Times New Roman" w:cs="Times New Roman"/>
          <w:sz w:val="26"/>
          <w:szCs w:val="26"/>
        </w:rPr>
        <w:t xml:space="preserve"> участника,</w:t>
      </w:r>
      <w:r w:rsidR="00AC66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C7451">
        <w:rPr>
          <w:rFonts w:ascii="Times New Roman" w:eastAsia="Times New Roman" w:hAnsi="Times New Roman" w:cs="Times New Roman"/>
          <w:sz w:val="26"/>
          <w:szCs w:val="26"/>
        </w:rPr>
        <w:t>составля</w:t>
      </w:r>
      <w:r w:rsidR="00DC7451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DC7451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AC662E">
        <w:rPr>
          <w:rFonts w:ascii="Times New Roman" w:eastAsia="Times New Roman" w:hAnsi="Times New Roman" w:cs="Times New Roman"/>
          <w:sz w:val="26"/>
          <w:szCs w:val="26"/>
        </w:rPr>
        <w:t>список исследовательских работ, авторы которых рекомендованы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 w:rsidR="00DC7451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очном этапе Конкурса;</w:t>
      </w:r>
    </w:p>
    <w:p w14:paraId="6374127E" w14:textId="57ABB5AC" w:rsidR="008B5D38" w:rsidRDefault="00C71D15" w:rsidP="006A7D5D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очное оценивание. В рамках очного этапа Конкурса экспертная комиссия оценивает доклад участника, составля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список исследовательских работ, авторы которых рекомендованы к получению 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>100% скидки на обучение на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образовательных программах бакалавриата 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>факультет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 xml:space="preserve"> компьютерных наук.</w:t>
      </w:r>
    </w:p>
    <w:p w14:paraId="76F64D1A" w14:textId="77777777" w:rsidR="00BA6398" w:rsidRDefault="00BA6398" w:rsidP="006A7D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F8DCC6" w14:textId="77777777" w:rsidR="008B5D38" w:rsidRDefault="00C71D15" w:rsidP="006A7D5D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6398">
        <w:rPr>
          <w:rFonts w:ascii="Times New Roman" w:eastAsia="Times New Roman" w:hAnsi="Times New Roman" w:cs="Times New Roman"/>
          <w:b/>
          <w:sz w:val="26"/>
          <w:szCs w:val="26"/>
        </w:rPr>
        <w:t>4. Порядок и условия проведения Конкурса</w:t>
      </w:r>
    </w:p>
    <w:p w14:paraId="233A7B5D" w14:textId="77777777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 В рамках Конкурса предусмотрены следующие направления:</w:t>
      </w:r>
    </w:p>
    <w:p w14:paraId="159B53B0" w14:textId="77777777" w:rsidR="008B5D38" w:rsidRDefault="00C71D15" w:rsidP="006A7D5D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компьютерные науки</w:t>
      </w:r>
      <w:r w:rsidR="00DC7451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02E6438F" w14:textId="77777777" w:rsidR="008B5D38" w:rsidRDefault="00C71D15" w:rsidP="006A7D5D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математика</w:t>
      </w:r>
      <w:r w:rsidR="00DC7451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6BA7667" w14:textId="77777777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Конкурс проводится в два этапа: очный и заочный. </w:t>
      </w:r>
    </w:p>
    <w:p w14:paraId="4A5D22C3" w14:textId="6C9C8F28" w:rsidR="008B5D38" w:rsidRPr="00BC738F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 На </w:t>
      </w:r>
      <w:r w:rsidR="00FA390F">
        <w:rPr>
          <w:rFonts w:ascii="Times New Roman" w:eastAsia="Times New Roman" w:hAnsi="Times New Roman" w:cs="Times New Roman"/>
          <w:sz w:val="26"/>
          <w:szCs w:val="26"/>
          <w:lang w:val="ru-RU"/>
        </w:rPr>
        <w:t>заочном</w:t>
      </w:r>
      <w:r w:rsidR="00FA3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этапе оцениваются тексты</w:t>
      </w:r>
      <w:r w:rsidR="009E576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исследовательских работ, которые были представлены к рассмотрению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согласно критериям (</w:t>
      </w:r>
      <w:r w:rsidR="00A56F6F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риложение 3)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DC5C6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Списки участников, прошедших в очный этап Конкурса</w:t>
      </w:r>
      <w:r w:rsidR="00AC662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публикуются на официальной странице конкурса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 позднее 21 июня 2022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0B7F69" w14:textId="380EEB90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DC5C67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Очный этап проходит в форме защиты автором своей работы перед экспертной комиссией. Эксперты оценивают научную ценность/потенциал представленной на конкурс работы в соотношении с компетенциями автора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критериям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="00171998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риложение 4).</w:t>
      </w:r>
    </w:p>
    <w:p w14:paraId="3E23C08D" w14:textId="77777777" w:rsidR="008B5D38" w:rsidRDefault="00C71D15" w:rsidP="006A7D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требования к презентации и докладу:</w:t>
      </w:r>
    </w:p>
    <w:p w14:paraId="7C9EC027" w14:textId="77777777" w:rsidR="008B5D38" w:rsidRDefault="00C71D15" w:rsidP="006A7D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формат презентации - pptx или pdf;</w:t>
      </w:r>
    </w:p>
    <w:p w14:paraId="713E9DB0" w14:textId="1AF7A8D7" w:rsidR="008B5D38" w:rsidRDefault="00C71D15" w:rsidP="006A7D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продолжительность выступления – не более 20 минут, включая ответы на вопросы экспертной комиссии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(не более 10 минут)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345D28" w14:textId="77777777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430A4B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 Список победителей Конкурса публикуется на сайте факультета компьютерных наук не позднее 10 июля текущего года.</w:t>
      </w:r>
    </w:p>
    <w:p w14:paraId="15E67085" w14:textId="77777777" w:rsidR="00430A4B" w:rsidRDefault="00430A4B" w:rsidP="006A7D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775F81" w14:textId="77777777" w:rsidR="008B5D38" w:rsidRPr="00430A4B" w:rsidRDefault="00C71D15" w:rsidP="006A7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0A4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 Подведение итогов Конкурса</w:t>
      </w:r>
    </w:p>
    <w:p w14:paraId="3297B2C1" w14:textId="27F794AC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По результатам Конкурса определяются победители, которые получают 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>100% скидк</w:t>
      </w:r>
      <w:r w:rsidR="00753C87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весь период обучения на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образовательных программах бакалавриата 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>факультет</w:t>
      </w:r>
      <w:r w:rsidR="00BC738F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BC738F">
        <w:rPr>
          <w:rFonts w:ascii="Times New Roman" w:eastAsia="Times New Roman" w:hAnsi="Times New Roman" w:cs="Times New Roman"/>
          <w:sz w:val="26"/>
          <w:szCs w:val="26"/>
        </w:rPr>
        <w:t xml:space="preserve"> компьютерных наук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условии, что по итогам единого государственного экзамена претендент имеет баллы, определенные критерием заключения договоров НИУ ВШЭ на соответствующие образовательные программы.</w:t>
      </w:r>
    </w:p>
    <w:p w14:paraId="614C3406" w14:textId="20FA654C" w:rsidR="00BC738F" w:rsidRPr="00BC738F" w:rsidRDefault="00BC738F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5.2. Максимальное количество скидок в год, предоставляемых в рамках конкурса, определяется приказом декана.</w:t>
      </w:r>
    </w:p>
    <w:p w14:paraId="00B15642" w14:textId="77777777" w:rsidR="00430A4B" w:rsidRDefault="00430A4B" w:rsidP="006A7D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46C1AC" w14:textId="77777777" w:rsidR="008B5D38" w:rsidRPr="00430A4B" w:rsidRDefault="00C71D15" w:rsidP="006A7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0A4B">
        <w:rPr>
          <w:rFonts w:ascii="Times New Roman" w:eastAsia="Times New Roman" w:hAnsi="Times New Roman" w:cs="Times New Roman"/>
          <w:b/>
          <w:sz w:val="26"/>
          <w:szCs w:val="26"/>
        </w:rPr>
        <w:t>6. Финансирование Конкурса</w:t>
      </w:r>
    </w:p>
    <w:p w14:paraId="6B80B6F4" w14:textId="77777777" w:rsidR="008B5D38" w:rsidRDefault="00C71D15" w:rsidP="006A7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 Финансовое обеспечение конкурса осуществляется за счет средств факультета компьютерных наук.</w:t>
      </w:r>
    </w:p>
    <w:p w14:paraId="43F7A152" w14:textId="77777777" w:rsidR="008B5D38" w:rsidRDefault="00C71D15" w:rsidP="006B268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0DF48D9A" w14:textId="77777777" w:rsidR="008B5D38" w:rsidRDefault="00C71D15" w:rsidP="000B3CE6">
      <w:pPr>
        <w:spacing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14:paraId="79E8F301" w14:textId="77777777" w:rsidR="000B3CE6" w:rsidRDefault="000B3CE6" w:rsidP="000B3CE6">
      <w:pPr>
        <w:spacing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78BF780D" w14:textId="77777777" w:rsidR="000B3CE6" w:rsidRDefault="000B3CE6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 конкурсе исследовательских работ абитуриентов факультета компьютерных наук</w:t>
      </w:r>
    </w:p>
    <w:p w14:paraId="646D9351" w14:textId="77777777" w:rsidR="000B3CE6" w:rsidRDefault="000B3CE6" w:rsidP="000B3CE6">
      <w:pPr>
        <w:spacing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AB9695C" w14:textId="77777777" w:rsidR="000B3CE6" w:rsidRPr="000B3CE6" w:rsidRDefault="00BE5D09" w:rsidP="000B3C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Список конференций и конкурсов, определенных оргкомитетом Конкурса </w:t>
      </w:r>
    </w:p>
    <w:p w14:paraId="160BCD95" w14:textId="77777777" w:rsidR="000B3CE6" w:rsidRPr="000B3CE6" w:rsidRDefault="000B3CE6" w:rsidP="000B3CE6">
      <w:pPr>
        <w:spacing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5"/>
        <w:tblW w:w="91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515"/>
        <w:gridCol w:w="1575"/>
        <w:gridCol w:w="3315"/>
      </w:tblGrid>
      <w:tr w:rsidR="008B5D38" w14:paraId="26729EB8" w14:textId="77777777" w:rsidTr="00BE5D09">
        <w:trPr>
          <w:trHeight w:val="480"/>
        </w:trPr>
        <w:tc>
          <w:tcPr>
            <w:tcW w:w="912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A9AD4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Научно-практические конференции для школьников</w:t>
            </w:r>
          </w:p>
        </w:tc>
      </w:tr>
      <w:tr w:rsidR="008B5D38" w14:paraId="798D3D70" w14:textId="77777777" w:rsidTr="00BE5D09">
        <w:trPr>
          <w:trHeight w:val="34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FBB4F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Конференция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17D9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Организатор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C1D64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Когда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051C0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Треки / секции</w:t>
            </w:r>
          </w:p>
        </w:tc>
      </w:tr>
      <w:tr w:rsidR="008B5D38" w14:paraId="434C3BB8" w14:textId="77777777" w:rsidTr="00BE5D09">
        <w:trPr>
          <w:trHeight w:val="88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AFA48" w14:textId="6324AF5D" w:rsidR="008B5D38" w:rsidRPr="00B66B36" w:rsidRDefault="00C71D15" w:rsidP="00DC74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конкурс научно-технических проектов </w:t>
            </w:r>
            <w:r w:rsidR="00DC7451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Большие вызовы</w:t>
            </w:r>
            <w:r w:rsidR="00DC7451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07B18" w14:textId="6F81CC15" w:rsidR="008B5D38" w:rsidRPr="00B66B36" w:rsidRDefault="00C71D15" w:rsidP="00DC74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 </w:t>
            </w:r>
            <w:r w:rsidR="00DC7451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Сириус</w:t>
            </w:r>
            <w:r w:rsidR="00DC7451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F0084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- май</w:t>
            </w:r>
          </w:p>
          <w:p w14:paraId="762395A7" w14:textId="77777777" w:rsidR="008B5D38" w:rsidRDefault="008B5D38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310F5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- июль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771F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Большие данные, искусственный интеллект, финансовые технологии и машинное обучение</w:t>
            </w:r>
          </w:p>
        </w:tc>
      </w:tr>
      <w:tr w:rsidR="008B5D38" w14:paraId="537677DB" w14:textId="77777777" w:rsidTr="00BE5D09">
        <w:trPr>
          <w:trHeight w:val="88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BC8A6" w14:textId="6835EF55" w:rsidR="008B5D38" w:rsidRPr="00B66B36" w:rsidRDefault="00C71D15" w:rsidP="009741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форум научной молодежи </w:t>
            </w:r>
            <w:r w:rsidR="009741E0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Шаг в будущее</w:t>
            </w:r>
            <w:r w:rsidR="009741E0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D7B1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МГТУ им. Н.Э. Баумана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82C0D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- апрель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EAA83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компьютерные науки</w:t>
            </w:r>
          </w:p>
          <w:p w14:paraId="34C061D8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ее приложения в информационных технологиях и экономике</w:t>
            </w:r>
          </w:p>
        </w:tc>
      </w:tr>
      <w:tr w:rsidR="008B5D38" w14:paraId="01284D76" w14:textId="77777777" w:rsidTr="00BE5D09">
        <w:trPr>
          <w:trHeight w:val="61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0E4FA" w14:textId="77777777" w:rsidR="008B5D38" w:rsidRPr="00BA639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6398">
              <w:rPr>
                <w:rFonts w:ascii="Times New Roman" w:eastAsia="Times New Roman" w:hAnsi="Times New Roman" w:cs="Times New Roman"/>
                <w:lang w:val="en-US"/>
              </w:rPr>
              <w:t>International Conference of Young Scientists (ICYS)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D0B30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принимающее учреждение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62E50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98EBD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</w:t>
            </w:r>
          </w:p>
          <w:p w14:paraId="0BE59240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Компьютерные науки</w:t>
            </w:r>
          </w:p>
        </w:tc>
      </w:tr>
      <w:tr w:rsidR="008B5D38" w14:paraId="1F60F604" w14:textId="77777777" w:rsidTr="00BE5D09">
        <w:trPr>
          <w:trHeight w:val="142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061CA" w14:textId="3909F566" w:rsidR="008B5D38" w:rsidRPr="00B66B36" w:rsidRDefault="00C71D15" w:rsidP="009741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Международная научная конференция </w:t>
            </w:r>
            <w:r w:rsidR="009741E0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Сахаровские чтения</w:t>
            </w:r>
            <w:r w:rsidR="009741E0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4458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национальный исследовательский Академический университет им. Ж.И. Алферова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8BDB1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FDAE7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14:paraId="0B5DA933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2330BA1F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8B5D38" w14:paraId="1D2FB448" w14:textId="77777777" w:rsidTr="00BE5D09">
        <w:trPr>
          <w:trHeight w:val="88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AC2D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конкурс научно-исследовательских и инженерно-технических проектных работ «Ученые будущего»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2A4D1" w14:textId="4E18185B" w:rsidR="008B5D38" w:rsidRPr="00B66B36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Минобрнауки</w:t>
            </w:r>
            <w:r w:rsidR="009741E0">
              <w:rPr>
                <w:rFonts w:ascii="Times New Roman" w:eastAsia="Times New Roman" w:hAnsi="Times New Roman" w:cs="Times New Roman"/>
                <w:lang w:val="ru-RU"/>
              </w:rPr>
              <w:t xml:space="preserve"> России,</w:t>
            </w:r>
          </w:p>
          <w:p w14:paraId="30999FC6" w14:textId="77777777" w:rsidR="008B5D38" w:rsidRPr="00B66B36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МГУ</w:t>
            </w:r>
            <w:r w:rsidR="009741E0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10932B1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РАН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93273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- декабрь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153D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563A7F3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Программирование</w:t>
            </w:r>
          </w:p>
        </w:tc>
      </w:tr>
      <w:tr w:rsidR="008B5D38" w14:paraId="2738C2FC" w14:textId="77777777" w:rsidTr="00BE5D09">
        <w:trPr>
          <w:trHeight w:val="885"/>
        </w:trPr>
        <w:tc>
          <w:tcPr>
            <w:tcW w:w="27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EA53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Колмогоровские чтения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14685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СУНЦ МГУ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B4A64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18B4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математическое моделирование</w:t>
            </w:r>
          </w:p>
          <w:p w14:paraId="4D8948C2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26B9212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8B5D38" w14:paraId="2427EC77" w14:textId="77777777" w:rsidTr="00BE5D09">
        <w:trPr>
          <w:trHeight w:val="885"/>
        </w:trPr>
        <w:tc>
          <w:tcPr>
            <w:tcW w:w="27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D08C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ЮНИОР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67BD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НИЯУ МИФИ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A57E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  <w:p w14:paraId="5DFBF125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январь-февраль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EEE63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Информационные науки</w:t>
            </w:r>
          </w:p>
          <w:p w14:paraId="45EC0C8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Математические науки</w:t>
            </w:r>
          </w:p>
          <w:p w14:paraId="0BAA6D18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Физические науки</w:t>
            </w:r>
          </w:p>
        </w:tc>
      </w:tr>
      <w:tr w:rsidR="008B5D38" w14:paraId="302D3E41" w14:textId="77777777" w:rsidTr="00BE5D09">
        <w:trPr>
          <w:trHeight w:val="1155"/>
        </w:trPr>
        <w:tc>
          <w:tcPr>
            <w:tcW w:w="27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7544B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Балтийский научно-инженерный конкурс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98A8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науки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24293F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F2563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0B5A1618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Системное программирование и компьютерные технологии</w:t>
            </w:r>
          </w:p>
          <w:p w14:paraId="1A0E430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8B5D38" w14:paraId="5B20D8F7" w14:textId="77777777" w:rsidTr="00BE5D09">
        <w:trPr>
          <w:trHeight w:val="61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A02A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Международный конкурс научно-технических работ школьников «Старт в Науку»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3AB1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МФТИ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83C18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- март</w:t>
            </w:r>
          </w:p>
          <w:p w14:paraId="74B6464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B2D84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Секция математических наук и программирования</w:t>
            </w:r>
          </w:p>
        </w:tc>
      </w:tr>
      <w:tr w:rsidR="008B5D38" w14:paraId="0B23BA65" w14:textId="77777777" w:rsidTr="00BE5D09">
        <w:trPr>
          <w:trHeight w:val="88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05127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работ исследовательского характера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5FB57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Белорусский государственный университет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81EF5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87B7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14:paraId="5466461F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729CF9B0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8B5D38" w14:paraId="4D4E3524" w14:textId="77777777" w:rsidTr="00BE5D09">
        <w:trPr>
          <w:trHeight w:val="547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2661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Московская математическая конференция школьников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28EE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Московский центр непрерывного математического образования,</w:t>
            </w:r>
          </w:p>
          <w:p w14:paraId="2C3180D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образования города Москвы,</w:t>
            </w:r>
          </w:p>
          <w:p w14:paraId="0228D695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педагогического мастерства г. Москвы,</w:t>
            </w:r>
          </w:p>
          <w:p w14:paraId="73BCCC1F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институт им. В.А. Стеклова РАН,</w:t>
            </w:r>
          </w:p>
          <w:p w14:paraId="2CEFB1B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Московский государственный университет им. М.В.Ломоносова,</w:t>
            </w:r>
          </w:p>
          <w:p w14:paraId="0282361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Московское математическое общество,</w:t>
            </w:r>
          </w:p>
          <w:p w14:paraId="5860E990" w14:textId="0D6B2DC8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НИУ </w:t>
            </w:r>
            <w:r w:rsidR="009741E0">
              <w:rPr>
                <w:rFonts w:ascii="Times New Roman" w:eastAsia="Times New Roman" w:hAnsi="Times New Roman" w:cs="Times New Roman"/>
                <w:lang w:val="ru-RU"/>
              </w:rPr>
              <w:t>ВШЭ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8ED2CC8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Московский физико-технический институт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BBB9D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- декабрь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30433" w14:textId="77777777" w:rsidR="008B5D38" w:rsidRDefault="00EE4153" w:rsidP="00EE4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Учебно-исследовательские работы</w:t>
            </w:r>
          </w:p>
          <w:p w14:paraId="51B95066" w14:textId="26F0F05E" w:rsidR="00EE4153" w:rsidRPr="00EE4153" w:rsidRDefault="00EE4153" w:rsidP="00EE4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Исследовательские разработки</w:t>
            </w:r>
          </w:p>
        </w:tc>
      </w:tr>
      <w:tr w:rsidR="008B5D38" w14:paraId="1B37AC40" w14:textId="77777777" w:rsidTr="00BE5D09">
        <w:trPr>
          <w:trHeight w:val="169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988F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Летняя конференция Международного математического Турнира городов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8FC6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Московский центр непрерывного математического образования,</w:t>
            </w:r>
          </w:p>
          <w:p w14:paraId="0227882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Московский физико-технический институт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F3BB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31635" w14:textId="12D40953" w:rsidR="008B5D38" w:rsidRPr="00EE4153" w:rsidRDefault="00C827A1" w:rsidP="00EE4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—</w:t>
            </w:r>
          </w:p>
        </w:tc>
      </w:tr>
      <w:tr w:rsidR="008B5D38" w14:paraId="26EC3020" w14:textId="77777777" w:rsidTr="00BE5D09">
        <w:trPr>
          <w:trHeight w:val="615"/>
        </w:trPr>
        <w:tc>
          <w:tcPr>
            <w:tcW w:w="27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7C12E" w14:textId="53384162" w:rsidR="008B5D38" w:rsidRDefault="009741E0" w:rsidP="009741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C71D15">
              <w:rPr>
                <w:rFonts w:ascii="Times New Roman" w:eastAsia="Times New Roman" w:hAnsi="Times New Roman" w:cs="Times New Roman"/>
              </w:rPr>
              <w:t>Высший пилотаж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1D15">
              <w:rPr>
                <w:rFonts w:ascii="Times New Roman" w:eastAsia="Times New Roman" w:hAnsi="Times New Roman" w:cs="Times New Roman"/>
              </w:rPr>
              <w:t>конкурс проектных и исследовательских работ</w:t>
            </w:r>
          </w:p>
        </w:tc>
        <w:tc>
          <w:tcPr>
            <w:tcW w:w="15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AE8D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НИУ ВШЭ</w:t>
            </w:r>
          </w:p>
        </w:tc>
        <w:tc>
          <w:tcPr>
            <w:tcW w:w="15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24B0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- апрель</w:t>
            </w:r>
          </w:p>
        </w:tc>
        <w:tc>
          <w:tcPr>
            <w:tcW w:w="33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43E3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Computer Science</w:t>
            </w:r>
          </w:p>
          <w:p w14:paraId="6C34213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</w:tbl>
    <w:p w14:paraId="4DFF04FB" w14:textId="77777777" w:rsidR="008B5D38" w:rsidRDefault="00C71D15" w:rsidP="006B268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4B6EE45B" w14:textId="77777777" w:rsidR="008B5D38" w:rsidRDefault="00C71D15" w:rsidP="00BE5D09">
      <w:pPr>
        <w:spacing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14:paraId="783B425C" w14:textId="77777777" w:rsidR="00BE5D09" w:rsidRDefault="00BE5D09" w:rsidP="00BE5D09">
      <w:pPr>
        <w:spacing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46DB252" w14:textId="77777777" w:rsidR="00BE5D09" w:rsidRDefault="00BE5D09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 конкурсе исследовательских работ абитуриентов факультета компьютерных наук</w:t>
      </w:r>
    </w:p>
    <w:p w14:paraId="4F5EA0AC" w14:textId="77777777" w:rsidR="00BE5D09" w:rsidRDefault="00BE5D09" w:rsidP="006B2688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46B8C1" w14:textId="77777777" w:rsidR="008B5D38" w:rsidRDefault="00C71D15" w:rsidP="006B2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5D09">
        <w:rPr>
          <w:rFonts w:ascii="Times New Roman" w:eastAsia="Times New Roman" w:hAnsi="Times New Roman" w:cs="Times New Roman"/>
          <w:b/>
          <w:sz w:val="26"/>
          <w:szCs w:val="26"/>
        </w:rPr>
        <w:t>Протокол сводных результатов конкурса исследовательских работ абитуриентов факультета компьютерных наук</w:t>
      </w:r>
    </w:p>
    <w:p w14:paraId="402AAEE3" w14:textId="77777777" w:rsidR="00BE5D09" w:rsidRPr="00BE5D09" w:rsidRDefault="00BE5D09" w:rsidP="006B2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1275"/>
        <w:gridCol w:w="1843"/>
        <w:gridCol w:w="851"/>
        <w:gridCol w:w="1090"/>
        <w:gridCol w:w="1185"/>
        <w:gridCol w:w="1095"/>
        <w:gridCol w:w="1260"/>
      </w:tblGrid>
      <w:tr w:rsidR="008B5D38" w14:paraId="2599C98F" w14:textId="77777777" w:rsidTr="00753109">
        <w:trPr>
          <w:jc w:val="center"/>
        </w:trPr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0E29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109D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2915" w14:textId="2975984D" w:rsidR="008B5D38" w:rsidRPr="00753109" w:rsidRDefault="00753109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Образовательное учреждение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E080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481E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9AE4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в заочном этапе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D733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в очном этапе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861D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Суммарная оценка</w:t>
            </w:r>
          </w:p>
        </w:tc>
      </w:tr>
      <w:tr w:rsidR="008B5D38" w14:paraId="0E8F737E" w14:textId="77777777" w:rsidTr="00753109">
        <w:trPr>
          <w:trHeight w:val="447"/>
          <w:jc w:val="center"/>
        </w:trPr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4BEE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B00C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73E2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6F6E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AFFF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85BC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2455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C312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74F37D74" w14:textId="77777777" w:rsidTr="00753109">
        <w:trPr>
          <w:trHeight w:val="447"/>
          <w:jc w:val="center"/>
        </w:trPr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561B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1F87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5017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5838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62B1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EE0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5DB4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84DA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2B8930A" w14:textId="77777777" w:rsidTr="00753109">
        <w:trPr>
          <w:jc w:val="center"/>
        </w:trPr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B85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A19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FC9C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CAB6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5A05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4A9B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FF84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315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EDE3B0" w14:textId="77777777" w:rsidR="008B5D38" w:rsidRDefault="00C71D15" w:rsidP="006B268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0A44B6D9" w14:textId="77777777" w:rsidR="008B5D38" w:rsidRDefault="00C71D15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3</w:t>
      </w:r>
    </w:p>
    <w:p w14:paraId="0927697E" w14:textId="77777777" w:rsidR="00BE5D09" w:rsidRDefault="00BE5D09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06C543" w14:textId="77777777" w:rsidR="00BE5D09" w:rsidRDefault="00BE5D09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 конкурсе исследовательских работ абитуриентов факультета компьютерных наук</w:t>
      </w:r>
    </w:p>
    <w:p w14:paraId="46CA87E9" w14:textId="77777777" w:rsidR="00BE5D09" w:rsidRPr="00BE5D09" w:rsidRDefault="00BE5D09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2CCD70D" w14:textId="77777777" w:rsidR="008B5D38" w:rsidRPr="00BE5D09" w:rsidRDefault="00C71D15" w:rsidP="006B2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5D09">
        <w:rPr>
          <w:rFonts w:ascii="Times New Roman" w:eastAsia="Times New Roman" w:hAnsi="Times New Roman" w:cs="Times New Roman"/>
          <w:b/>
          <w:sz w:val="26"/>
          <w:szCs w:val="26"/>
        </w:rPr>
        <w:t>Критерии оценивания работы</w:t>
      </w:r>
    </w:p>
    <w:p w14:paraId="6762ECA8" w14:textId="77777777" w:rsidR="008B5D38" w:rsidRDefault="00C71D15" w:rsidP="006B2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5D09">
        <w:rPr>
          <w:rFonts w:ascii="Times New Roman" w:eastAsia="Times New Roman" w:hAnsi="Times New Roman" w:cs="Times New Roman"/>
          <w:b/>
          <w:sz w:val="26"/>
          <w:szCs w:val="26"/>
        </w:rPr>
        <w:t>(заочный этап Конкурса)</w:t>
      </w:r>
    </w:p>
    <w:p w14:paraId="591DC830" w14:textId="77777777" w:rsidR="00BE5D09" w:rsidRPr="00BE5D09" w:rsidRDefault="00BE5D09" w:rsidP="006B2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720"/>
        <w:gridCol w:w="4200"/>
      </w:tblGrid>
      <w:tr w:rsidR="008B5D38" w14:paraId="4FF7805A" w14:textId="77777777">
        <w:trPr>
          <w:trHeight w:val="460"/>
        </w:trPr>
        <w:tc>
          <w:tcPr>
            <w:tcW w:w="4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CD80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участнике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8F34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</w:tr>
      <w:tr w:rsidR="008B5D38" w14:paraId="505CF03D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3DAF4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AFCF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8AFE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</w:tr>
      <w:tr w:rsidR="008B5D38" w14:paraId="5491E81B" w14:textId="77777777">
        <w:trPr>
          <w:trHeight w:val="4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3652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995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94B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4CE1CDBE" w14:textId="77777777">
        <w:trPr>
          <w:trHeight w:val="4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3EA7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8D9F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D777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7D00BE78" w14:textId="77777777">
        <w:trPr>
          <w:trHeight w:val="4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BFE1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C3A7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97E3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50DA6FBA" w14:textId="77777777">
        <w:trPr>
          <w:trHeight w:val="4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0E16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2BA7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47F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FD22F6" w14:textId="77777777" w:rsidR="008B5D38" w:rsidRDefault="008B5D38" w:rsidP="006B268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3225"/>
        <w:gridCol w:w="960"/>
        <w:gridCol w:w="1605"/>
      </w:tblGrid>
      <w:tr w:rsidR="008B5D38" w14:paraId="1215CEB0" w14:textId="77777777">
        <w:trPr>
          <w:trHeight w:val="460"/>
        </w:trPr>
        <w:tc>
          <w:tcPr>
            <w:tcW w:w="74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322E4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Шкала оценки работы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5167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8B5D38" w14:paraId="690432F9" w14:textId="77777777">
        <w:trPr>
          <w:trHeight w:val="46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E990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18EC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Градация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E6E2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3B14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B5D38" w14:paraId="57FAD662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69F3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Обоснованность темы исследования - обоснование исследовательской составляющей, целесообразность аргументов, подтверждающих актуальность темы исследования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73E8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обоснована; аргументы целесообразны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62F2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CBAF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E51530C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5753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F04D" w14:textId="77777777" w:rsidR="008B5D38" w:rsidRDefault="00C71D15" w:rsidP="006B26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обоснована; часть аргументов целесообразна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C26C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53DF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5930B412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BE6A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434E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не обоснована; аргументы отсутствуют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D39C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046E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763788EB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F4A6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Конкретность, ясность формулировки цели, задач, а также их соответствие теме исследования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638B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и задачи конкретны, ясны, соответствуют теме исследования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79CD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910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3912E315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A079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1A98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и задачи неконкретны, неясны или не соответствуют теме исследования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34DB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5DF2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1EF6323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722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F2C4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и задачи не поставлены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2B6F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2042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2A45D9DA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036B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Полнота и степень проработки исследования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E135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присутствует новизна исследования, тема проработана в полной мере, рассмотрены различные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подходы, присутствуют инновационные идеи, присутствует исследовательский элемент, указаны новые способы использования известных фактов или методов на практике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9714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B887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833D7FE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4C9F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5417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проработана в полной мере, рассмотрены различные подходы, присутствуют исследования или их реализация на практике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D883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F17A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269A9F8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2316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C77B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проработана в полной мере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6DE9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4E45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7363615E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8782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35BB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проработана в основных аспектах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26EB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D30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2B0CFBC0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4018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B6C1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проработана частично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E261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7C08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34E2FD0A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BB1C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EA27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не проработана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0DC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C7D4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EBAA93E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2721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Доступность предложенного исследования для самостоятельного выполнения автором проекта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BCD5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 доступно для самостоятельного выполнения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18C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CCF4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40AD3509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B26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BFAA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 выполнено совместно со специалистом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9BD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AB6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41D3968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7C33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99E0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 выполнено только специалистом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0F0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360B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EADE9B2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3CD2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Соответствие иллюстративного материала (графики, диаграммы, схемы, фото, таблицы и т.п.) специфике заявленной темы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2FA9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иллюстративный материал соответствует теме (в работе используются графики, таблицы, схемы, диаграммы)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4B65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5C33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AC69BDF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0AF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3DAA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иллюстративный материал соответствует теме (в работе используются фото)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6D9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E51F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0071846A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8A09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54D0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иллюстративный материал не соответствует теме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655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644B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2CD35C45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9107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Отражение собственной позиции автора (точки зрения на полученные результаты)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8E10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позиция автора отражена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DCF6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7CC4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7F5F92F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A094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1B9E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позиция автора не отражена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4BAD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E61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D89D541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6633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Соответствие выводов целям и задачам исследования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A278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выводы соответствуют целям и задачам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BDA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2E6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465B29E7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E74B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096E" w14:textId="77777777" w:rsidR="008B5D38" w:rsidRDefault="00C71D15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выводы частично соответствуют целям и задачам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8AF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F770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6289C73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4ED2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A834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выводы не соответствуют целям и задачам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AB88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55AD" w14:textId="77777777" w:rsidR="008B5D38" w:rsidRDefault="008B5D38" w:rsidP="006B2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06B002" w14:textId="77777777" w:rsidR="008B5D38" w:rsidRDefault="00C71D15" w:rsidP="006B268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br w:type="page"/>
      </w:r>
    </w:p>
    <w:p w14:paraId="2E9B1A77" w14:textId="77777777" w:rsidR="008B5D38" w:rsidRDefault="00C71D15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4</w:t>
      </w:r>
    </w:p>
    <w:p w14:paraId="0F5303A0" w14:textId="77777777" w:rsidR="00BE5D09" w:rsidRDefault="00BE5D09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ED408" w14:textId="77777777" w:rsidR="00BE5D09" w:rsidRDefault="00BE5D09" w:rsidP="00BE5D09">
      <w:pPr>
        <w:spacing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 конкурсе исследовательских работ абитуриентов факультета компьютерных наук</w:t>
      </w:r>
    </w:p>
    <w:p w14:paraId="79D93EF9" w14:textId="77777777" w:rsidR="00BE5D09" w:rsidRPr="00BE5D09" w:rsidRDefault="00BE5D09" w:rsidP="00BE5D09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E51D144" w14:textId="77777777" w:rsidR="008B5D38" w:rsidRPr="00BE5D09" w:rsidRDefault="00C71D15" w:rsidP="006B2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5D09">
        <w:rPr>
          <w:rFonts w:ascii="Times New Roman" w:eastAsia="Times New Roman" w:hAnsi="Times New Roman" w:cs="Times New Roman"/>
          <w:b/>
          <w:sz w:val="26"/>
          <w:szCs w:val="26"/>
        </w:rPr>
        <w:t>Критерии оценивания работы</w:t>
      </w:r>
    </w:p>
    <w:p w14:paraId="43D5EC74" w14:textId="77777777" w:rsidR="008B5D38" w:rsidRDefault="00C71D15" w:rsidP="006B2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5D09">
        <w:rPr>
          <w:rFonts w:ascii="Times New Roman" w:eastAsia="Times New Roman" w:hAnsi="Times New Roman" w:cs="Times New Roman"/>
          <w:b/>
          <w:sz w:val="26"/>
          <w:szCs w:val="26"/>
        </w:rPr>
        <w:t>(очный этап Конкурса)</w:t>
      </w:r>
    </w:p>
    <w:tbl>
      <w:tblPr>
        <w:tblStyle w:val="a9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720"/>
        <w:gridCol w:w="4200"/>
      </w:tblGrid>
      <w:tr w:rsidR="008B5D38" w14:paraId="027FDD09" w14:textId="77777777">
        <w:trPr>
          <w:trHeight w:val="460"/>
        </w:trPr>
        <w:tc>
          <w:tcPr>
            <w:tcW w:w="4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5031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участнике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4B4E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</w:tr>
      <w:tr w:rsidR="008B5D38" w14:paraId="68ACF063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52BF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573C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6E4B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</w:tr>
      <w:tr w:rsidR="008B5D38" w14:paraId="08FDA169" w14:textId="77777777">
        <w:trPr>
          <w:trHeight w:val="4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E832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A505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AF5E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381EA44" w14:textId="77777777">
        <w:trPr>
          <w:trHeight w:val="4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0128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FE00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0EC2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758BC62" w14:textId="77777777">
        <w:trPr>
          <w:trHeight w:val="4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F89C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6492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FE18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756F6C42" w14:textId="77777777">
        <w:trPr>
          <w:trHeight w:val="4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B107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2094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88BD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99299F" w14:textId="77777777" w:rsidR="008B5D38" w:rsidRPr="0009129A" w:rsidRDefault="008B5D38" w:rsidP="006B26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3225"/>
        <w:gridCol w:w="960"/>
        <w:gridCol w:w="1605"/>
      </w:tblGrid>
      <w:tr w:rsidR="008B5D38" w14:paraId="3C0EAFF0" w14:textId="77777777">
        <w:trPr>
          <w:trHeight w:val="460"/>
        </w:trPr>
        <w:tc>
          <w:tcPr>
            <w:tcW w:w="74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8629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Шкала оценки работы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C51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8B5D38" w14:paraId="1A4598E2" w14:textId="77777777">
        <w:trPr>
          <w:trHeight w:val="46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66F4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4D2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Градация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631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DFA4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B5D38" w14:paraId="5CD068B1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C4C7" w14:textId="77777777" w:rsidR="008B5D38" w:rsidRDefault="00C71D15" w:rsidP="006B26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Соответствие доклада заявленной теме, цели и задачам работы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0CB7" w14:textId="77777777" w:rsidR="008B5D38" w:rsidRDefault="00C71D15" w:rsidP="006B26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 полностью соответствует теме, цели и задачам работы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9D3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7E41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33A6DD5D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296A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9C8E" w14:textId="77777777" w:rsidR="008B5D38" w:rsidRDefault="00C71D15" w:rsidP="006B26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докладе есть несоответствия (отступления) от темы, целей и задач работы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AD48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77C0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7C4E257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FFBF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F664" w14:textId="77777777" w:rsidR="008B5D38" w:rsidRDefault="00C71D15" w:rsidP="006B26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 в основном не соответствует теме, целям и задачам работы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100D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A5A1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40EA8EE3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D6B4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Структурированность (организация) доклада, которая обеспечивает понимание содержания работы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B2F2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 структурирован, обеспечивает понимание содержания работы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DBFB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25DF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3A5FBCAA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811F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2FE6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 структурирован, но не обеспечивает понимание содержания работы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2F6B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0F4D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7D03D16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885F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6A58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 не структурирован, не обеспечивает понимание содержания работы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96E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C2CF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0C6E3F2A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768B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 Культура выступления - умение держаться перед аудиторией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8E83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свободное владение материалами доклада, вербальными и невербальными средствами коммуникации, дополнительным наглядным материалом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ED2A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393B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0A02088B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E09B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9CE8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неясное представление о некоторых деталях работы, недостаточное использование вербальных и невербальных средств коммуникации, наглядного материала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6133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B11A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0EBDF43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64A9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68A8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неуверенное, невнятное выступление, без использования дополнительного наглядного материала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D6E4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A4D8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3B771D58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03A7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Доступность доклада о содержании работы, ее цели, задачах, методах и результатах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F03C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 доступен без уточняющих вопросов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3471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BCA0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7104CAF2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7CED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86A3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 доступен с уточняющими вопросами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DC55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566F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0A125157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91F6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6182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 не доступен с уточняющими вопросами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9B9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776C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1D6E04D1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27AE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Соблюдение временного регламента сообщения (не более 10 минут)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3D71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временной регламент соблюден (не превышен)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DC04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2F44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05A72391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99D9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DE17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временной регламент превышен (без замечания)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0468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BA68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30BC719B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27D9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9630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временной регламент превышен (с замечанием)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67B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7468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4810C725" w14:textId="77777777" w:rsidTr="00C71D15">
        <w:trPr>
          <w:trHeight w:val="398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0726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Четкость и полнота ответов на дополнительные вопросы по существу сообщения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0D5B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ответы четкие, полные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19A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DAFC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991E7F2" w14:textId="77777777" w:rsidTr="00C71D15">
        <w:trPr>
          <w:trHeight w:val="323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A8DD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F8A2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некоторые ответы нечеткие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2A3C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E8EF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701B14C4" w14:textId="77777777" w:rsidTr="00C71D15">
        <w:trPr>
          <w:trHeight w:val="246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27ED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6FFC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ответы нечеткие/неполные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FBEE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83B8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7205A041" w14:textId="77777777">
        <w:trPr>
          <w:trHeight w:val="42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84D5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Владение теоретическим материалом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D34B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владеет свободно, правильно использует терминологию, адекватно применяет ее к теме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BE03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43CC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6E5F327D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D1D3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815D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владеет частично, допускаются несущественные ошибки использования терминологии в раскрытии темы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B456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2222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D38" w14:paraId="442025A9" w14:textId="77777777">
        <w:trPr>
          <w:trHeight w:val="42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D1D5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ABEC" w14:textId="77777777" w:rsidR="008B5D38" w:rsidRDefault="00C71D15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владеет слабо, допускаются существенные ошибки при использовании терминологии в работе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6AE2" w14:textId="77777777" w:rsidR="008B5D38" w:rsidRDefault="00C71D15" w:rsidP="006B26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1407" w14:textId="77777777" w:rsidR="008B5D38" w:rsidRDefault="008B5D38" w:rsidP="006B26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83DDC4" w14:textId="77777777" w:rsidR="008B5D38" w:rsidRPr="0009129A" w:rsidRDefault="008B5D38" w:rsidP="0009129A">
      <w:pPr>
        <w:spacing w:line="240" w:lineRule="auto"/>
        <w:jc w:val="both"/>
        <w:rPr>
          <w:rFonts w:ascii="Times New Roman" w:eastAsia="Times New Roman" w:hAnsi="Times New Roman" w:cs="Times New Roman"/>
          <w:sz w:val="2"/>
          <w:szCs w:val="26"/>
        </w:rPr>
      </w:pPr>
    </w:p>
    <w:sectPr w:rsidR="008B5D38" w:rsidRPr="0009129A" w:rsidSect="00467058">
      <w:headerReference w:type="default" r:id="rId8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9E80" w16cex:dateUtc="2022-05-06T10:17:00Z"/>
  <w16cex:commentExtensible w16cex:durableId="261F9E98" w16cex:dateUtc="2022-05-06T10:18:00Z"/>
  <w16cex:commentExtensible w16cex:durableId="261FC1D5" w16cex:dateUtc="2022-05-06T1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E756D" w14:textId="77777777" w:rsidR="0018559D" w:rsidRDefault="0018559D" w:rsidP="00171998">
      <w:pPr>
        <w:spacing w:line="240" w:lineRule="auto"/>
      </w:pPr>
      <w:r>
        <w:separator/>
      </w:r>
    </w:p>
  </w:endnote>
  <w:endnote w:type="continuationSeparator" w:id="0">
    <w:p w14:paraId="61771B7C" w14:textId="77777777" w:rsidR="0018559D" w:rsidRDefault="0018559D" w:rsidP="00171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8352D" w14:textId="77777777" w:rsidR="0018559D" w:rsidRDefault="0018559D" w:rsidP="00171998">
      <w:pPr>
        <w:spacing w:line="240" w:lineRule="auto"/>
      </w:pPr>
      <w:r>
        <w:separator/>
      </w:r>
    </w:p>
  </w:footnote>
  <w:footnote w:type="continuationSeparator" w:id="0">
    <w:p w14:paraId="51D21958" w14:textId="77777777" w:rsidR="0018559D" w:rsidRDefault="0018559D" w:rsidP="00171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720594695"/>
      <w:docPartObj>
        <w:docPartGallery w:val="Page Numbers (Top of Page)"/>
        <w:docPartUnique/>
      </w:docPartObj>
    </w:sdtPr>
    <w:sdtEndPr/>
    <w:sdtContent>
      <w:p w14:paraId="37C99D20" w14:textId="395780E7" w:rsidR="00171998" w:rsidRPr="0009129A" w:rsidRDefault="00171998" w:rsidP="0009129A">
        <w:pPr>
          <w:pStyle w:val="af3"/>
          <w:jc w:val="center"/>
          <w:rPr>
            <w:sz w:val="26"/>
            <w:szCs w:val="26"/>
          </w:rPr>
        </w:pPr>
        <w:r w:rsidRPr="0009129A">
          <w:rPr>
            <w:sz w:val="26"/>
            <w:szCs w:val="26"/>
          </w:rPr>
          <w:fldChar w:fldCharType="begin"/>
        </w:r>
        <w:r w:rsidRPr="0009129A">
          <w:rPr>
            <w:sz w:val="26"/>
            <w:szCs w:val="26"/>
          </w:rPr>
          <w:instrText>PAGE   \* MERGEFORMAT</w:instrText>
        </w:r>
        <w:r w:rsidRPr="0009129A">
          <w:rPr>
            <w:sz w:val="26"/>
            <w:szCs w:val="26"/>
          </w:rPr>
          <w:fldChar w:fldCharType="separate"/>
        </w:r>
        <w:r w:rsidR="00417ADC" w:rsidRPr="00417ADC">
          <w:rPr>
            <w:noProof/>
            <w:sz w:val="26"/>
            <w:szCs w:val="26"/>
            <w:lang w:val="ru-RU"/>
          </w:rPr>
          <w:t>2</w:t>
        </w:r>
        <w:r w:rsidRPr="0009129A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09E1"/>
    <w:multiLevelType w:val="multilevel"/>
    <w:tmpl w:val="AA84F5A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53DE36AF"/>
    <w:multiLevelType w:val="multilevel"/>
    <w:tmpl w:val="5BC618C4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69941520"/>
    <w:multiLevelType w:val="multilevel"/>
    <w:tmpl w:val="FCD05A8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38"/>
    <w:rsid w:val="0009129A"/>
    <w:rsid w:val="000B3CE6"/>
    <w:rsid w:val="000B444D"/>
    <w:rsid w:val="001465D3"/>
    <w:rsid w:val="00171998"/>
    <w:rsid w:val="00173162"/>
    <w:rsid w:val="00185157"/>
    <w:rsid w:val="0018559D"/>
    <w:rsid w:val="00196ACF"/>
    <w:rsid w:val="00237527"/>
    <w:rsid w:val="00295827"/>
    <w:rsid w:val="00417ADC"/>
    <w:rsid w:val="00430A4B"/>
    <w:rsid w:val="00467058"/>
    <w:rsid w:val="004C71D0"/>
    <w:rsid w:val="0060135C"/>
    <w:rsid w:val="006607D6"/>
    <w:rsid w:val="00694A04"/>
    <w:rsid w:val="006A7D5D"/>
    <w:rsid w:val="006B2688"/>
    <w:rsid w:val="00753109"/>
    <w:rsid w:val="00753C87"/>
    <w:rsid w:val="007D2433"/>
    <w:rsid w:val="00802DAF"/>
    <w:rsid w:val="008A0A10"/>
    <w:rsid w:val="008B5D38"/>
    <w:rsid w:val="00943074"/>
    <w:rsid w:val="009741E0"/>
    <w:rsid w:val="009E576E"/>
    <w:rsid w:val="00A206F9"/>
    <w:rsid w:val="00A21409"/>
    <w:rsid w:val="00A56F6F"/>
    <w:rsid w:val="00AC662E"/>
    <w:rsid w:val="00AE6212"/>
    <w:rsid w:val="00B03550"/>
    <w:rsid w:val="00B66B36"/>
    <w:rsid w:val="00BA6398"/>
    <w:rsid w:val="00BB28FE"/>
    <w:rsid w:val="00BB7BB4"/>
    <w:rsid w:val="00BC5355"/>
    <w:rsid w:val="00BC738F"/>
    <w:rsid w:val="00BE11F5"/>
    <w:rsid w:val="00BE5D09"/>
    <w:rsid w:val="00C05F18"/>
    <w:rsid w:val="00C71D15"/>
    <w:rsid w:val="00C74616"/>
    <w:rsid w:val="00C827A1"/>
    <w:rsid w:val="00D07506"/>
    <w:rsid w:val="00DC5C67"/>
    <w:rsid w:val="00DC7451"/>
    <w:rsid w:val="00E81337"/>
    <w:rsid w:val="00EA1791"/>
    <w:rsid w:val="00EE4153"/>
    <w:rsid w:val="00EF3764"/>
    <w:rsid w:val="00FA390F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CA9A"/>
  <w15:docId w15:val="{5BF292CF-57E7-48FF-8488-9D0B36EA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B3C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3CE6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C74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745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745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745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745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206F9"/>
    <w:pPr>
      <w:spacing w:line="240" w:lineRule="auto"/>
    </w:pPr>
  </w:style>
  <w:style w:type="paragraph" w:styleId="af3">
    <w:name w:val="header"/>
    <w:basedOn w:val="a"/>
    <w:link w:val="af4"/>
    <w:uiPriority w:val="99"/>
    <w:unhideWhenUsed/>
    <w:rsid w:val="00171998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71998"/>
  </w:style>
  <w:style w:type="paragraph" w:styleId="af5">
    <w:name w:val="footer"/>
    <w:basedOn w:val="a"/>
    <w:link w:val="af6"/>
    <w:uiPriority w:val="99"/>
    <w:unhideWhenUsed/>
    <w:rsid w:val="0017199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7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E3AC-7765-4375-9C24-EE43A0D5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Урсу Юлия Александровна</dc:creator>
  <cp:lastModifiedBy>Урсу Юлия Александровна</cp:lastModifiedBy>
  <cp:revision>2</cp:revision>
  <cp:lastPrinted>2022-03-14T13:55:00Z</cp:lastPrinted>
  <dcterms:created xsi:type="dcterms:W3CDTF">2022-05-19T13:20:00Z</dcterms:created>
  <dcterms:modified xsi:type="dcterms:W3CDTF">2022-05-19T13:20:00Z</dcterms:modified>
</cp:coreProperties>
</file>