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D" w:rsidRDefault="0077204D" w:rsidP="00C41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77204D" w:rsidRDefault="0077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77204D" w:rsidRDefault="00AB0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:rsidR="0077204D" w:rsidRDefault="0077204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7204D" w:rsidRDefault="00AB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</w:t>
      </w:r>
      <w:r>
        <w:rPr>
          <w:rFonts w:ascii="Times New Roman" w:hAnsi="Times New Roman" w:cs="Times New Roman"/>
          <w:sz w:val="28"/>
          <w:szCs w:val="28"/>
        </w:rPr>
        <w:t>ля на прикладной курсовой проект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студента(ки) группы БПИ____ образовательной программы бакалавриата «Программная инженерия»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204D" w:rsidRDefault="00AB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528"/>
        <w:gridCol w:w="2155"/>
      </w:tblGrid>
      <w:tr w:rsidR="0077204D">
        <w:trPr>
          <w:cantSplit/>
          <w:trHeight w:val="776"/>
        </w:trPr>
        <w:tc>
          <w:tcPr>
            <w:tcW w:w="585" w:type="dxa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7204D" w:rsidRDefault="00AB0190">
            <w:pPr>
              <w:pStyle w:val="13"/>
              <w:rPr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Четкость и корректность формулировки целей и задач проекта (функциональных и нефункциональных требований к проекту)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Полнота использования источников информации (книги, статьи, электронная библиотека НИУ ВШЭ, интернет-ресурсы и пр.), анализа аналогов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исследования, теоретической составляющей работы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реализации, оригинальность и/или обоснованность предложенных технологических решений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Достижение намеченной цели и выполнение поставленных задач проекта</w:t>
            </w:r>
          </w:p>
        </w:tc>
        <w:tc>
          <w:tcPr>
            <w:tcW w:w="2155" w:type="dxa"/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AB019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</w:t>
            </w:r>
          </w:p>
        </w:tc>
        <w:tc>
          <w:tcPr>
            <w:tcW w:w="6095" w:type="dxa"/>
            <w:gridSpan w:val="2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Оформление программной документации по ГОСТ 19 ЕСПД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6.1 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6.2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6.3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или Руководство программиста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6.4 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77204D">
        <w:trPr>
          <w:cantSplit/>
          <w:trHeight w:val="96"/>
        </w:trPr>
        <w:tc>
          <w:tcPr>
            <w:tcW w:w="585" w:type="dxa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6.5</w:t>
            </w:r>
          </w:p>
        </w:tc>
        <w:tc>
          <w:tcPr>
            <w:tcW w:w="5528" w:type="dxa"/>
          </w:tcPr>
          <w:p w:rsidR="0077204D" w:rsidRDefault="00AB0190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204D" w:rsidRDefault="0077204D">
            <w:pPr>
              <w:pStyle w:val="13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</w:tbl>
    <w:p w:rsidR="0077204D" w:rsidRDefault="0077204D">
      <w:pPr>
        <w:pStyle w:val="25"/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40 % с учетом оформления по ГОСТ) 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>
        <w:rPr>
          <w:rFonts w:ascii="Times New Roman" w:hAnsi="Times New Roman" w:cs="Times New Roman"/>
          <w:i/>
          <w:iCs/>
        </w:rPr>
        <w:t>допущен к защите проекта / не допущен к защи</w:t>
      </w:r>
      <w:r>
        <w:rPr>
          <w:rFonts w:ascii="Times New Roman" w:hAnsi="Times New Roman" w:cs="Times New Roman"/>
          <w:i/>
          <w:iCs/>
        </w:rPr>
        <w:t>те проекта</w:t>
      </w:r>
    </w:p>
    <w:p w:rsidR="0077204D" w:rsidRDefault="0077204D">
      <w:pPr>
        <w:pStyle w:val="25"/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превышении процента плагиата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студента при превышении процента плагиата руководитель может составить служебную записку на имя академического руководителя с пояснением характера заимствован</w:t>
      </w:r>
      <w:r>
        <w:rPr>
          <w:rFonts w:ascii="Times New Roman" w:hAnsi="Times New Roman" w:cs="Times New Roman"/>
          <w:i/>
          <w:iCs/>
          <w:sz w:val="20"/>
          <w:szCs w:val="20"/>
        </w:rPr>
        <w:t>ий</w:t>
      </w:r>
      <w:r>
        <w:rPr>
          <w:rFonts w:ascii="Times New Roman" w:hAnsi="Times New Roman" w:cs="Times New Roman"/>
        </w:rPr>
        <w:t>.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 к оценкам (обязательно для заполнения руководителем проекта):</w:t>
      </w:r>
    </w:p>
    <w:p w:rsidR="0077204D" w:rsidRDefault="00AB0190">
      <w:pPr>
        <w:spacing w:after="2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ИТОГОВАЯ ОЦЕНКА РУКОВОДИТЕЛЯ по 10-ба</w:t>
      </w:r>
      <w:r>
        <w:rPr>
          <w:rFonts w:ascii="Times New Roman" w:hAnsi="Times New Roman" w:cs="Times New Roman"/>
        </w:rPr>
        <w:t>лльной шкале ____________________________</w:t>
      </w: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0"/>
        </w:rPr>
        <w:t>_______________        ___________________________________________________________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/подпись/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(Ф.И.О., ученая степень, звание, должность, место работы)</w:t>
      </w:r>
    </w:p>
    <w:p w:rsidR="0077204D" w:rsidRDefault="00AB01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04D" w:rsidRDefault="00AB0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:rsidR="0077204D" w:rsidRDefault="0077204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 в европейском приложении к диплому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772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7204D" w:rsidRDefault="00A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</w:tbl>
    <w:p w:rsidR="0077204D" w:rsidRDefault="00772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7204D" w:rsidRDefault="00AB0190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77204D" w:rsidRDefault="0077204D"/>
    <w:sectPr w:rsidR="0077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90" w:rsidRDefault="00AB0190">
      <w:pPr>
        <w:spacing w:after="0" w:line="240" w:lineRule="auto"/>
      </w:pPr>
      <w:r>
        <w:separator/>
      </w:r>
    </w:p>
  </w:endnote>
  <w:endnote w:type="continuationSeparator" w:id="0">
    <w:p w:rsidR="00AB0190" w:rsidRDefault="00AB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90" w:rsidRDefault="00AB0190">
      <w:pPr>
        <w:spacing w:after="0" w:line="240" w:lineRule="auto"/>
      </w:pPr>
      <w:r>
        <w:separator/>
      </w:r>
    </w:p>
  </w:footnote>
  <w:footnote w:type="continuationSeparator" w:id="0">
    <w:p w:rsidR="00AB0190" w:rsidRDefault="00AB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D"/>
    <w:rsid w:val="0077204D"/>
    <w:rsid w:val="00877CE2"/>
    <w:rsid w:val="00AB0190"/>
    <w:rsid w:val="00C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7B4"/>
  <w15:docId w15:val="{6BEADC5A-880D-4E5F-B95D-ACF11D3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Стиль1"/>
    <w:basedOn w:val="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5">
    <w:name w:val="Body Text 2"/>
    <w:basedOn w:val="a"/>
    <w:link w:val="2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Нархова Анна Сергеевна</cp:lastModifiedBy>
  <cp:revision>2</cp:revision>
  <dcterms:created xsi:type="dcterms:W3CDTF">2024-03-07T07:56:00Z</dcterms:created>
  <dcterms:modified xsi:type="dcterms:W3CDTF">2024-03-07T07:56:00Z</dcterms:modified>
</cp:coreProperties>
</file>